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04527" w14:textId="77777777" w:rsidR="007354CF" w:rsidRPr="000C5539" w:rsidRDefault="007354CF" w:rsidP="003221CB">
      <w:pPr>
        <w:spacing w:line="360" w:lineRule="auto"/>
        <w:rPr>
          <w:rFonts w:ascii="Arial Narrow" w:hAnsi="Arial Narrow"/>
          <w:sz w:val="20"/>
          <w:szCs w:val="20"/>
          <w:lang w:val="es-C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484"/>
      </w:tblGrid>
      <w:tr w:rsidR="000C5539" w:rsidRPr="000C5539" w14:paraId="28918524" w14:textId="77777777" w:rsidTr="00BA0D2B">
        <w:trPr>
          <w:trHeight w:val="1128"/>
          <w:tblHeader/>
        </w:trPr>
        <w:tc>
          <w:tcPr>
            <w:tcW w:w="9923" w:type="dxa"/>
            <w:gridSpan w:val="2"/>
            <w:shd w:val="clear" w:color="auto" w:fill="D9D9D9"/>
            <w:vAlign w:val="center"/>
          </w:tcPr>
          <w:p w14:paraId="0189D24C" w14:textId="77777777" w:rsidR="000C5539" w:rsidRPr="000C5539" w:rsidRDefault="000C5539" w:rsidP="00BA0D2B">
            <w:pPr>
              <w:pStyle w:val="NormalWeb"/>
              <w:spacing w:before="0" w:beforeAutospacing="0" w:after="0" w:afterAutospacing="0"/>
              <w:jc w:val="center"/>
              <w:rPr>
                <w:rFonts w:ascii="Arial Narrow" w:hAnsi="Arial Narrow" w:cs="Arial"/>
                <w:b/>
                <w:color w:val="000000"/>
                <w:sz w:val="20"/>
                <w:szCs w:val="20"/>
                <w:lang w:val="es-CO"/>
              </w:rPr>
            </w:pPr>
            <w:r w:rsidRPr="000C5539">
              <w:rPr>
                <w:rFonts w:ascii="Arial Narrow" w:hAnsi="Arial Narrow" w:cs="Arial"/>
                <w:b/>
                <w:color w:val="000000"/>
                <w:sz w:val="20"/>
                <w:szCs w:val="20"/>
                <w:lang w:val="es-CO"/>
              </w:rPr>
              <w:t>Proyecto de Decreto</w:t>
            </w:r>
          </w:p>
          <w:p w14:paraId="1F555B05" w14:textId="481E1599" w:rsidR="000C5539" w:rsidRPr="000C5539" w:rsidRDefault="006A35C1" w:rsidP="00D42C2E">
            <w:pPr>
              <w:jc w:val="center"/>
              <w:rPr>
                <w:rFonts w:ascii="Arial Narrow" w:hAnsi="Arial Narrow" w:cs="Arial"/>
                <w:color w:val="000000"/>
                <w:sz w:val="20"/>
                <w:szCs w:val="20"/>
                <w:lang w:val="es-ES_tradnl"/>
              </w:rPr>
            </w:pPr>
            <w:r w:rsidRPr="006A35C1">
              <w:rPr>
                <w:rFonts w:ascii="Arial Narrow" w:hAnsi="Arial Narrow" w:cs="Arial"/>
                <w:i/>
                <w:color w:val="000000"/>
                <w:sz w:val="20"/>
                <w:szCs w:val="20"/>
                <w:lang w:val="es-CO"/>
              </w:rPr>
              <w:t>Por el cual se adiciona el Título 12 a la Parte 2, del Libro 2 al Decreto 1084 de 2015 Único Reglamentario del Sector de Inclusión Social, respecto de la medida indemnizatoria reconocida por la Unidad para la Atención y Reparación Integral a las Víctimas y se derogan otras disposiciones complementarias.</w:t>
            </w:r>
          </w:p>
        </w:tc>
      </w:tr>
      <w:tr w:rsidR="000C5539" w:rsidRPr="000C5539" w14:paraId="4434CDF5" w14:textId="77777777" w:rsidTr="00BA0D2B">
        <w:trPr>
          <w:trHeight w:val="988"/>
        </w:trPr>
        <w:tc>
          <w:tcPr>
            <w:tcW w:w="2439" w:type="dxa"/>
            <w:vAlign w:val="center"/>
          </w:tcPr>
          <w:p w14:paraId="71AD8F81" w14:textId="77777777" w:rsidR="000C5539" w:rsidRPr="000C5539" w:rsidRDefault="000C5539" w:rsidP="00EB6D41">
            <w:pPr>
              <w:jc w:val="both"/>
              <w:rPr>
                <w:rFonts w:ascii="Arial Narrow" w:hAnsi="Arial Narrow" w:cs="Arial"/>
                <w:b/>
                <w:sz w:val="20"/>
                <w:szCs w:val="20"/>
                <w:lang w:val="es-CO"/>
              </w:rPr>
            </w:pPr>
            <w:r w:rsidRPr="000C5539">
              <w:rPr>
                <w:rFonts w:ascii="Arial Narrow" w:hAnsi="Arial Narrow" w:cs="Arial"/>
                <w:b/>
                <w:sz w:val="20"/>
                <w:szCs w:val="20"/>
                <w:lang w:val="es-CO"/>
              </w:rPr>
              <w:t>Dependencia que desarrollará el proyecto de Norma (Escriba el nombre de la dependencia que liderará el proceso)</w:t>
            </w:r>
          </w:p>
        </w:tc>
        <w:tc>
          <w:tcPr>
            <w:tcW w:w="7484" w:type="dxa"/>
            <w:vAlign w:val="center"/>
          </w:tcPr>
          <w:p w14:paraId="2A672CC2" w14:textId="77777777" w:rsidR="00D42C2E" w:rsidRDefault="000C5539" w:rsidP="00BA0D2B">
            <w:pPr>
              <w:jc w:val="both"/>
              <w:rPr>
                <w:rFonts w:ascii="Arial Narrow" w:hAnsi="Arial Narrow" w:cs="Arial"/>
                <w:sz w:val="20"/>
                <w:szCs w:val="20"/>
                <w:lang w:val="es-CO"/>
              </w:rPr>
            </w:pPr>
            <w:r w:rsidRPr="000C5539">
              <w:rPr>
                <w:rFonts w:ascii="Arial Narrow" w:hAnsi="Arial Narrow" w:cs="Arial"/>
                <w:sz w:val="20"/>
                <w:szCs w:val="20"/>
                <w:lang w:val="es-CO"/>
              </w:rPr>
              <w:t>Unidad para</w:t>
            </w:r>
            <w:r w:rsidR="00D42C2E">
              <w:rPr>
                <w:rFonts w:ascii="Arial Narrow" w:hAnsi="Arial Narrow" w:cs="Arial"/>
                <w:sz w:val="20"/>
                <w:szCs w:val="20"/>
                <w:lang w:val="es-CO"/>
              </w:rPr>
              <w:t xml:space="preserve"> Atención y Reparación Integral a</w:t>
            </w:r>
            <w:r w:rsidRPr="000C5539">
              <w:rPr>
                <w:rFonts w:ascii="Arial Narrow" w:hAnsi="Arial Narrow" w:cs="Arial"/>
                <w:sz w:val="20"/>
                <w:szCs w:val="20"/>
                <w:lang w:val="es-CO"/>
              </w:rPr>
              <w:t xml:space="preserve"> las Víctimas </w:t>
            </w:r>
            <w:r w:rsidR="00B522EE">
              <w:rPr>
                <w:rFonts w:ascii="Arial Narrow" w:hAnsi="Arial Narrow" w:cs="Arial"/>
                <w:sz w:val="20"/>
                <w:szCs w:val="20"/>
                <w:lang w:val="es-CO"/>
              </w:rPr>
              <w:t>[en adelante ‘Unidad para las Víctimas]</w:t>
            </w:r>
          </w:p>
          <w:p w14:paraId="532CC519" w14:textId="77777777" w:rsidR="000C5539" w:rsidRPr="000C5539" w:rsidRDefault="00C82422" w:rsidP="00BA0D2B">
            <w:pPr>
              <w:jc w:val="both"/>
              <w:rPr>
                <w:rFonts w:ascii="Arial Narrow" w:hAnsi="Arial Narrow" w:cs="Arial"/>
                <w:sz w:val="20"/>
                <w:szCs w:val="20"/>
                <w:lang w:val="es-CO"/>
              </w:rPr>
            </w:pPr>
            <w:r>
              <w:rPr>
                <w:rFonts w:ascii="Arial Narrow" w:hAnsi="Arial Narrow" w:cs="Arial"/>
                <w:sz w:val="20"/>
                <w:szCs w:val="20"/>
                <w:lang w:val="es-CO"/>
              </w:rPr>
              <w:t xml:space="preserve">Departamento Administrativo para la </w:t>
            </w:r>
            <w:r w:rsidR="000C5539" w:rsidRPr="000C5539">
              <w:rPr>
                <w:rFonts w:ascii="Arial Narrow" w:hAnsi="Arial Narrow" w:cs="Arial"/>
                <w:sz w:val="20"/>
                <w:szCs w:val="20"/>
                <w:lang w:val="es-CO"/>
              </w:rPr>
              <w:t>Prosperidad Social</w:t>
            </w:r>
            <w:r>
              <w:rPr>
                <w:rFonts w:ascii="Arial Narrow" w:hAnsi="Arial Narrow" w:cs="Arial"/>
                <w:sz w:val="20"/>
                <w:szCs w:val="20"/>
                <w:lang w:val="es-CO"/>
              </w:rPr>
              <w:t>.</w:t>
            </w:r>
          </w:p>
          <w:p w14:paraId="779239E1" w14:textId="77777777" w:rsidR="000C5539" w:rsidRPr="000C5539" w:rsidRDefault="000C5539" w:rsidP="00BA0D2B">
            <w:pPr>
              <w:jc w:val="both"/>
              <w:rPr>
                <w:rFonts w:ascii="Arial Narrow" w:hAnsi="Arial Narrow" w:cs="Arial"/>
                <w:sz w:val="20"/>
                <w:szCs w:val="20"/>
                <w:lang w:val="es-CO"/>
              </w:rPr>
            </w:pPr>
            <w:r w:rsidRPr="000C5539">
              <w:rPr>
                <w:rFonts w:ascii="Arial Narrow" w:hAnsi="Arial Narrow" w:cs="Arial"/>
                <w:sz w:val="20"/>
                <w:szCs w:val="20"/>
                <w:lang w:val="es-CO"/>
              </w:rPr>
              <w:t>Ministerio de Hacienda</w:t>
            </w:r>
            <w:r w:rsidR="00C82422">
              <w:rPr>
                <w:rFonts w:ascii="Arial Narrow" w:hAnsi="Arial Narrow" w:cs="Arial"/>
                <w:sz w:val="20"/>
                <w:szCs w:val="20"/>
                <w:lang w:val="es-CO"/>
              </w:rPr>
              <w:t xml:space="preserve"> y Crédito Público.</w:t>
            </w:r>
          </w:p>
          <w:p w14:paraId="3FC358DC" w14:textId="77777777" w:rsidR="000C5539" w:rsidRPr="000C5539" w:rsidRDefault="000C5539" w:rsidP="00BA0D2B">
            <w:pPr>
              <w:jc w:val="both"/>
              <w:rPr>
                <w:rFonts w:ascii="Arial Narrow" w:hAnsi="Arial Narrow" w:cs="Arial"/>
                <w:sz w:val="20"/>
                <w:szCs w:val="20"/>
                <w:lang w:val="es-CO"/>
              </w:rPr>
            </w:pPr>
            <w:r w:rsidRPr="000C5539">
              <w:rPr>
                <w:rFonts w:ascii="Arial Narrow" w:hAnsi="Arial Narrow" w:cs="Arial"/>
                <w:sz w:val="20"/>
                <w:szCs w:val="20"/>
                <w:lang w:val="es-CO"/>
              </w:rPr>
              <w:t>Departamento Nacional de Planeación</w:t>
            </w:r>
            <w:r w:rsidR="00C82422">
              <w:rPr>
                <w:rFonts w:ascii="Arial Narrow" w:hAnsi="Arial Narrow" w:cs="Arial"/>
                <w:sz w:val="20"/>
                <w:szCs w:val="20"/>
                <w:lang w:val="es-CO"/>
              </w:rPr>
              <w:t>.</w:t>
            </w:r>
            <w:r w:rsidRPr="000C5539">
              <w:rPr>
                <w:rFonts w:ascii="Arial Narrow" w:hAnsi="Arial Narrow" w:cs="Arial"/>
                <w:sz w:val="20"/>
                <w:szCs w:val="20"/>
                <w:lang w:val="es-CO"/>
              </w:rPr>
              <w:t xml:space="preserve"> </w:t>
            </w:r>
          </w:p>
        </w:tc>
      </w:tr>
      <w:tr w:rsidR="000C5539" w:rsidRPr="000C5539" w14:paraId="11400FC4" w14:textId="77777777" w:rsidTr="00BA0D2B">
        <w:tc>
          <w:tcPr>
            <w:tcW w:w="2439" w:type="dxa"/>
            <w:vAlign w:val="center"/>
          </w:tcPr>
          <w:p w14:paraId="38CE0845"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 xml:space="preserve">Proyecto de Decreto: </w:t>
            </w:r>
          </w:p>
        </w:tc>
        <w:tc>
          <w:tcPr>
            <w:tcW w:w="7484" w:type="dxa"/>
            <w:vAlign w:val="center"/>
          </w:tcPr>
          <w:p w14:paraId="532017DB" w14:textId="77777777" w:rsidR="000C5539" w:rsidRPr="000C5539" w:rsidRDefault="00C82422" w:rsidP="00CF475F">
            <w:pPr>
              <w:jc w:val="both"/>
              <w:rPr>
                <w:rFonts w:ascii="Arial Narrow" w:hAnsi="Arial Narrow" w:cs="Arial"/>
                <w:bCs/>
                <w:color w:val="000000"/>
                <w:lang w:val="es-ES_tradnl"/>
              </w:rPr>
            </w:pPr>
            <w:r w:rsidRPr="00C82422">
              <w:rPr>
                <w:rFonts w:ascii="Arial Narrow" w:hAnsi="Arial Narrow" w:cs="Arial"/>
                <w:color w:val="000000"/>
                <w:sz w:val="20"/>
                <w:szCs w:val="20"/>
                <w:lang w:val="es-ES_tradnl"/>
              </w:rPr>
              <w:t>Por el cual se adiciona</w:t>
            </w:r>
            <w:r w:rsidR="000C6F3D">
              <w:rPr>
                <w:rFonts w:ascii="Arial Narrow" w:hAnsi="Arial Narrow" w:cs="Arial"/>
                <w:color w:val="000000"/>
                <w:sz w:val="20"/>
                <w:szCs w:val="20"/>
                <w:lang w:val="es-ES_tradnl"/>
              </w:rPr>
              <w:t xml:space="preserve"> el Título 12 a la Parte 2, del Libro 2 al Decreto 1084 de 2015 Único Reglamentario del Sector de Inclusión Social, respecto de la medida indemnizatoria reconocida por la Unidad para la Atención y Reparación Integral a las Víctimas, y se derogan otras disposiciones </w:t>
            </w:r>
            <w:r w:rsidR="00CF475F">
              <w:rPr>
                <w:rFonts w:ascii="Arial Narrow" w:hAnsi="Arial Narrow" w:cs="Arial"/>
                <w:color w:val="000000"/>
                <w:sz w:val="20"/>
                <w:szCs w:val="20"/>
                <w:lang w:val="es-ES_tradnl"/>
              </w:rPr>
              <w:t xml:space="preserve"> complementarias.</w:t>
            </w:r>
            <w:r w:rsidRPr="00C82422">
              <w:rPr>
                <w:rFonts w:ascii="Arial Narrow" w:eastAsia="ヒラギノ角ゴ Pro W3" w:hAnsi="Arial Narrow" w:cs="Arial"/>
                <w:i/>
                <w:color w:val="000000"/>
                <w:sz w:val="20"/>
                <w:szCs w:val="20"/>
                <w:lang w:val="es-ES_tradnl" w:eastAsia="en-US"/>
              </w:rPr>
              <w:t xml:space="preserve"> </w:t>
            </w:r>
          </w:p>
        </w:tc>
      </w:tr>
    </w:tbl>
    <w:p w14:paraId="61A9988F" w14:textId="77777777" w:rsidR="000C5539" w:rsidRPr="000C5539" w:rsidRDefault="000C5539" w:rsidP="000C5539">
      <w:pPr>
        <w:jc w:val="both"/>
        <w:rPr>
          <w:rFonts w:ascii="Arial Narrow" w:hAnsi="Arial Narrow" w:cs="Arial"/>
          <w:sz w:val="20"/>
          <w:szCs w:val="20"/>
          <w:lang w:val="es-C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484"/>
      </w:tblGrid>
      <w:tr w:rsidR="000C5539" w:rsidRPr="000C5539" w14:paraId="1226C734" w14:textId="77777777" w:rsidTr="00BA0D2B">
        <w:tc>
          <w:tcPr>
            <w:tcW w:w="2439" w:type="dxa"/>
            <w:tcBorders>
              <w:right w:val="single" w:sz="4" w:space="0" w:color="auto"/>
            </w:tcBorders>
            <w:vAlign w:val="center"/>
          </w:tcPr>
          <w:p w14:paraId="424E954B"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1. Los antecedentes y las razones de oportunidad y conveniencia que justifican su expedición.</w:t>
            </w:r>
          </w:p>
          <w:p w14:paraId="5BC234F0" w14:textId="77777777" w:rsidR="000C5539" w:rsidRPr="000C5539" w:rsidRDefault="000C5539" w:rsidP="00BA0D2B">
            <w:pPr>
              <w:jc w:val="both"/>
              <w:rPr>
                <w:rFonts w:ascii="Arial Narrow" w:hAnsi="Arial Narrow" w:cs="Arial"/>
                <w:b/>
                <w:sz w:val="20"/>
                <w:szCs w:val="20"/>
                <w:highlight w:val="yellow"/>
                <w:lang w:val="es-CO"/>
              </w:rPr>
            </w:pPr>
          </w:p>
        </w:tc>
        <w:tc>
          <w:tcPr>
            <w:tcW w:w="7484" w:type="dxa"/>
            <w:tcBorders>
              <w:top w:val="single" w:sz="4" w:space="0" w:color="auto"/>
              <w:left w:val="single" w:sz="4" w:space="0" w:color="auto"/>
              <w:bottom w:val="single" w:sz="4" w:space="0" w:color="auto"/>
              <w:right w:val="single" w:sz="4" w:space="0" w:color="auto"/>
            </w:tcBorders>
            <w:vAlign w:val="center"/>
          </w:tcPr>
          <w:p w14:paraId="4475BB19" w14:textId="77777777" w:rsidR="000C5539" w:rsidRPr="000C5539" w:rsidRDefault="000C5539" w:rsidP="00BA0D2B">
            <w:pPr>
              <w:adjustRightInd w:val="0"/>
              <w:jc w:val="both"/>
              <w:rPr>
                <w:rFonts w:ascii="Arial Narrow" w:hAnsi="Arial Narrow" w:cs="Arial"/>
                <w:sz w:val="20"/>
                <w:szCs w:val="20"/>
                <w:lang w:val="es-CO"/>
              </w:rPr>
            </w:pPr>
            <w:r w:rsidRPr="000C5539">
              <w:rPr>
                <w:rFonts w:ascii="Arial Narrow" w:hAnsi="Arial Narrow" w:cs="Arial"/>
                <w:sz w:val="20"/>
                <w:szCs w:val="20"/>
                <w:lang w:val="es-CO"/>
              </w:rPr>
              <w:t xml:space="preserve">La Ley 1448 de 2011, en su artículo 132 estableció que el Gobierno Nacional debería reglamentar lo pertinente al tema de indemnización, especialmente </w:t>
            </w:r>
            <w:r w:rsidR="005D6863">
              <w:rPr>
                <w:rFonts w:ascii="Arial Narrow" w:hAnsi="Arial Narrow" w:cs="Arial"/>
                <w:sz w:val="20"/>
                <w:szCs w:val="20"/>
                <w:lang w:val="es-CO"/>
              </w:rPr>
              <w:t>lo atinente a</w:t>
            </w:r>
            <w:r w:rsidRPr="000C5539">
              <w:rPr>
                <w:rFonts w:ascii="Arial Narrow" w:hAnsi="Arial Narrow" w:cs="Arial"/>
                <w:sz w:val="20"/>
                <w:szCs w:val="20"/>
                <w:lang w:val="es-CO"/>
              </w:rPr>
              <w:t xml:space="preserve"> los montos, procedimiento y tasación.</w:t>
            </w:r>
          </w:p>
          <w:p w14:paraId="739774BD" w14:textId="77777777" w:rsidR="000C5539" w:rsidRPr="000C5539" w:rsidRDefault="000C5539" w:rsidP="00BA0D2B">
            <w:pPr>
              <w:adjustRightInd w:val="0"/>
              <w:jc w:val="both"/>
              <w:rPr>
                <w:rFonts w:ascii="Arial Narrow" w:hAnsi="Arial Narrow" w:cs="Arial"/>
                <w:sz w:val="20"/>
                <w:szCs w:val="20"/>
                <w:lang w:val="es-ES_tradnl"/>
              </w:rPr>
            </w:pPr>
          </w:p>
          <w:p w14:paraId="14665B84" w14:textId="452F5DC8" w:rsidR="000C5539" w:rsidRDefault="000C5539" w:rsidP="00BA0D2B">
            <w:pPr>
              <w:adjustRightInd w:val="0"/>
              <w:jc w:val="both"/>
              <w:rPr>
                <w:rFonts w:ascii="Arial Narrow" w:hAnsi="Arial Narrow" w:cs="Arial"/>
                <w:sz w:val="20"/>
                <w:szCs w:val="20"/>
                <w:lang w:val="es-ES_tradnl"/>
              </w:rPr>
            </w:pPr>
            <w:r w:rsidRPr="000C5539">
              <w:rPr>
                <w:rFonts w:ascii="Arial Narrow" w:hAnsi="Arial Narrow" w:cs="Arial"/>
                <w:sz w:val="20"/>
                <w:szCs w:val="20"/>
                <w:lang w:val="es-ES_tradnl"/>
              </w:rPr>
              <w:t>Por su parte el numeral 7 del artículo</w:t>
            </w:r>
            <w:r w:rsidR="005D6863">
              <w:rPr>
                <w:rFonts w:ascii="Arial Narrow" w:hAnsi="Arial Narrow" w:cs="Arial"/>
                <w:sz w:val="20"/>
                <w:szCs w:val="20"/>
                <w:lang w:val="es-ES_tradnl"/>
              </w:rPr>
              <w:t xml:space="preserve"> </w:t>
            </w:r>
            <w:r w:rsidRPr="000C5539">
              <w:rPr>
                <w:rFonts w:ascii="Arial Narrow" w:hAnsi="Arial Narrow" w:cs="Arial"/>
                <w:sz w:val="20"/>
                <w:szCs w:val="20"/>
                <w:lang w:val="es-ES_tradnl"/>
              </w:rPr>
              <w:t>168 de la Ley 1448 de 2011, como el numeral 2.2.7.3.1 del Decreto Único Reglamentario 1084 de 2015, establecen que corresponde a la Unidad para las Víctimas administrar los recursos destinados para hacer la entrega a las víctimas de la indemnización por vía administrativa.</w:t>
            </w:r>
          </w:p>
          <w:p w14:paraId="35D19D50" w14:textId="77777777" w:rsidR="0072040D" w:rsidRDefault="0072040D" w:rsidP="00BA0D2B">
            <w:pPr>
              <w:adjustRightInd w:val="0"/>
              <w:jc w:val="both"/>
              <w:rPr>
                <w:rFonts w:ascii="Arial Narrow" w:hAnsi="Arial Narrow" w:cs="Arial"/>
                <w:sz w:val="20"/>
                <w:szCs w:val="20"/>
                <w:lang w:val="es-ES_tradnl"/>
              </w:rPr>
            </w:pPr>
          </w:p>
          <w:p w14:paraId="458CCF0B" w14:textId="77777777" w:rsidR="0072040D" w:rsidRPr="000C5539" w:rsidRDefault="0072040D" w:rsidP="0072040D">
            <w:pPr>
              <w:adjustRightInd w:val="0"/>
              <w:jc w:val="both"/>
              <w:rPr>
                <w:rFonts w:ascii="Arial Narrow" w:hAnsi="Arial Narrow" w:cs="Arial"/>
                <w:i/>
                <w:sz w:val="20"/>
                <w:szCs w:val="20"/>
                <w:lang w:val="es-ES_tradnl"/>
              </w:rPr>
            </w:pPr>
            <w:r w:rsidRPr="000C5539">
              <w:rPr>
                <w:rFonts w:ascii="Arial Narrow" w:hAnsi="Arial Narrow" w:cs="Arial"/>
                <w:sz w:val="20"/>
                <w:szCs w:val="20"/>
                <w:lang w:val="es-ES_tradnl"/>
              </w:rPr>
              <w:t xml:space="preserve">El inciso tercero del </w:t>
            </w:r>
            <w:r w:rsidRPr="0095322C">
              <w:rPr>
                <w:rFonts w:ascii="Arial Narrow" w:hAnsi="Arial Narrow" w:cs="Arial"/>
                <w:sz w:val="20"/>
                <w:szCs w:val="20"/>
                <w:lang w:val="es-ES_tradnl"/>
              </w:rPr>
              <w:t>artículo 151 del</w:t>
            </w:r>
            <w:r>
              <w:rPr>
                <w:rFonts w:ascii="Arial Narrow" w:hAnsi="Arial Narrow" w:cs="Arial"/>
                <w:sz w:val="20"/>
                <w:szCs w:val="20"/>
                <w:lang w:val="es-ES_tradnl"/>
              </w:rPr>
              <w:t xml:space="preserve"> Decreto 4800 de 2011, compilado en el artículo</w:t>
            </w:r>
            <w:r w:rsidRPr="000C5539">
              <w:rPr>
                <w:rFonts w:ascii="Arial Narrow" w:hAnsi="Arial Narrow" w:cs="Arial"/>
                <w:sz w:val="20"/>
                <w:szCs w:val="20"/>
                <w:lang w:val="es-ES_tradnl"/>
              </w:rPr>
              <w:t xml:space="preserve"> 2.2.7.3.6 del Decreto 1084 de 2015 dispone que para el otorgamiento de la indemnización administrativa </w:t>
            </w:r>
            <w:r w:rsidRPr="000C5539">
              <w:rPr>
                <w:rFonts w:ascii="Arial Narrow" w:hAnsi="Arial Narrow" w:cs="Arial"/>
                <w:i/>
                <w:sz w:val="20"/>
                <w:szCs w:val="20"/>
                <w:lang w:val="es-ES_tradnl"/>
              </w:rPr>
              <w:t>“(…)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w:t>
            </w:r>
          </w:p>
          <w:p w14:paraId="45EFAFB0" w14:textId="77777777" w:rsidR="000C5539" w:rsidRPr="000C5539" w:rsidRDefault="000C5539" w:rsidP="00BA0D2B">
            <w:pPr>
              <w:adjustRightInd w:val="0"/>
              <w:jc w:val="both"/>
              <w:rPr>
                <w:rFonts w:ascii="Arial Narrow" w:hAnsi="Arial Narrow" w:cs="Arial"/>
                <w:sz w:val="20"/>
                <w:szCs w:val="20"/>
                <w:lang w:val="es-ES_tradnl"/>
              </w:rPr>
            </w:pPr>
          </w:p>
          <w:p w14:paraId="1733D2D9" w14:textId="77777777" w:rsidR="000C5539" w:rsidRDefault="000C5539" w:rsidP="00BA0D2B">
            <w:pPr>
              <w:adjustRightInd w:val="0"/>
              <w:jc w:val="both"/>
              <w:rPr>
                <w:rFonts w:ascii="Arial Narrow" w:hAnsi="Arial Narrow" w:cs="Arial"/>
                <w:sz w:val="20"/>
                <w:szCs w:val="20"/>
                <w:lang w:val="es-ES_tradnl"/>
              </w:rPr>
            </w:pPr>
            <w:r w:rsidRPr="000C5539">
              <w:rPr>
                <w:rFonts w:ascii="Arial Narrow" w:hAnsi="Arial Narrow" w:cs="Arial"/>
                <w:sz w:val="20"/>
                <w:szCs w:val="20"/>
                <w:lang w:val="es-ES_tradnl"/>
              </w:rPr>
              <w:t xml:space="preserve">De otro lado, el Decreto 1725 de 2012 el Gobierno nacional adoptó el Plan Nacional de Atención y Reparación Integral a las Víctimas, conformado por el </w:t>
            </w:r>
            <w:r w:rsidRPr="000C5539">
              <w:rPr>
                <w:rFonts w:ascii="Arial Narrow" w:hAnsi="Arial Narrow" w:cs="Arial"/>
                <w:i/>
                <w:sz w:val="20"/>
                <w:szCs w:val="20"/>
                <w:lang w:val="es-ES_tradnl"/>
              </w:rPr>
              <w:t xml:space="preserve">“…conjunto de políticas, lineamientos, normas, procesos, planes, instituciones e instancias…” </w:t>
            </w:r>
            <w:r w:rsidRPr="000C5539">
              <w:rPr>
                <w:rFonts w:ascii="Arial Narrow" w:hAnsi="Arial Narrow" w:cs="Arial"/>
                <w:sz w:val="20"/>
                <w:szCs w:val="20"/>
                <w:lang w:val="es-ES_tradnl"/>
              </w:rPr>
              <w:t xml:space="preserve">y, los </w:t>
            </w:r>
            <w:r w:rsidR="00A74227">
              <w:rPr>
                <w:rFonts w:ascii="Arial Narrow" w:hAnsi="Arial Narrow" w:cs="Arial"/>
                <w:sz w:val="20"/>
                <w:szCs w:val="20"/>
                <w:lang w:val="es-ES_tradnl"/>
              </w:rPr>
              <w:t>d</w:t>
            </w:r>
            <w:r w:rsidRPr="000C5539">
              <w:rPr>
                <w:rFonts w:ascii="Arial Narrow" w:hAnsi="Arial Narrow" w:cs="Arial"/>
                <w:sz w:val="20"/>
                <w:szCs w:val="20"/>
                <w:lang w:val="es-ES_tradnl"/>
              </w:rPr>
              <w:t>ocumentos CONPES 3712 de 2011 y 3726 de 2012, con el propósito de definir cómo se c</w:t>
            </w:r>
            <w:bookmarkStart w:id="0" w:name="_GoBack"/>
            <w:bookmarkEnd w:id="0"/>
            <w:r w:rsidRPr="000C5539">
              <w:rPr>
                <w:rFonts w:ascii="Arial Narrow" w:hAnsi="Arial Narrow" w:cs="Arial"/>
                <w:sz w:val="20"/>
                <w:szCs w:val="20"/>
                <w:lang w:val="es-ES_tradnl"/>
              </w:rPr>
              <w:t>umplirán las medidas previstas en la Ley 1448 de 2011 a favor de las víctimas, dentro de una conjugación armónica de los principios de progresividad, gradualidad y sostenibilidad fiscal.</w:t>
            </w:r>
          </w:p>
          <w:p w14:paraId="3A2C957D" w14:textId="77777777" w:rsidR="004F36FA" w:rsidRDefault="004F36FA" w:rsidP="00BA0D2B">
            <w:pPr>
              <w:adjustRightInd w:val="0"/>
              <w:jc w:val="both"/>
              <w:rPr>
                <w:rFonts w:ascii="Arial Narrow" w:hAnsi="Arial Narrow" w:cs="Arial"/>
                <w:sz w:val="20"/>
                <w:szCs w:val="20"/>
                <w:lang w:val="es-ES_tradnl"/>
              </w:rPr>
            </w:pPr>
          </w:p>
          <w:p w14:paraId="5B6FC143" w14:textId="77777777" w:rsidR="004F36FA" w:rsidRPr="000C5539" w:rsidRDefault="006A0597" w:rsidP="00BA0D2B">
            <w:pPr>
              <w:adjustRightInd w:val="0"/>
              <w:jc w:val="both"/>
              <w:rPr>
                <w:rFonts w:ascii="Arial Narrow" w:hAnsi="Arial Narrow" w:cs="Arial"/>
                <w:sz w:val="20"/>
                <w:szCs w:val="20"/>
                <w:lang w:val="es-ES_tradnl"/>
              </w:rPr>
            </w:pPr>
            <w:r w:rsidRPr="009A640D">
              <w:rPr>
                <w:rFonts w:ascii="Arial Narrow" w:hAnsi="Arial Narrow" w:cs="Arial"/>
                <w:sz w:val="20"/>
                <w:szCs w:val="20"/>
                <w:lang w:val="es-ES_tradnl"/>
              </w:rPr>
              <w:t>L</w:t>
            </w:r>
            <w:r w:rsidR="004F36FA" w:rsidRPr="009A640D">
              <w:rPr>
                <w:rFonts w:ascii="Arial Narrow" w:hAnsi="Arial Narrow" w:cs="Arial"/>
                <w:sz w:val="20"/>
                <w:szCs w:val="20"/>
                <w:lang w:val="es-ES_tradnl"/>
              </w:rPr>
              <w:t>a Corte Constitucional, mediante la Sentencia C-253A de 2012, reconoció la aplicación de los principios de progresividad, gradualidad y sostenibilidad fiscal establecidos en la Ley 1448 de 2011, cuyo objeto va dirigido a garantizar que las medidas adoptadas por el Estado a favor de las víctimas“…sean sostenibles fiscalmente y aplicadas gradual y progresivamente, con lo que se garantiza que los esfuerzos estatales van a ser financiables en el mediano y largo plazo, y que serán implementados en todo el país en un lapso determinado respetando el principio de igualdad…”.</w:t>
            </w:r>
          </w:p>
          <w:p w14:paraId="695613E9" w14:textId="77777777" w:rsidR="000C5539" w:rsidRPr="000C5539" w:rsidRDefault="000C5539" w:rsidP="00BA0D2B">
            <w:pPr>
              <w:adjustRightInd w:val="0"/>
              <w:jc w:val="both"/>
              <w:rPr>
                <w:rFonts w:ascii="Arial Narrow" w:hAnsi="Arial Narrow" w:cs="Arial"/>
                <w:sz w:val="20"/>
                <w:szCs w:val="20"/>
                <w:lang w:val="es-ES_tradnl"/>
              </w:rPr>
            </w:pPr>
          </w:p>
          <w:p w14:paraId="2646B30E" w14:textId="77777777" w:rsidR="000C5539" w:rsidRPr="000C5539" w:rsidRDefault="000C5539" w:rsidP="00BA0D2B">
            <w:pPr>
              <w:adjustRightInd w:val="0"/>
              <w:jc w:val="both"/>
              <w:rPr>
                <w:rFonts w:ascii="Arial Narrow" w:hAnsi="Arial Narrow" w:cs="Arial"/>
                <w:sz w:val="20"/>
                <w:szCs w:val="20"/>
                <w:lang w:val="es-ES_tradnl"/>
              </w:rPr>
            </w:pPr>
            <w:r w:rsidRPr="000C5539">
              <w:rPr>
                <w:rFonts w:ascii="Arial Narrow" w:hAnsi="Arial Narrow" w:cs="Arial"/>
                <w:sz w:val="20"/>
                <w:szCs w:val="20"/>
                <w:lang w:val="es-ES_tradnl"/>
              </w:rPr>
              <w:t xml:space="preserve">La Corte Constitucional en la Sentencia SU-254 de 2013, ordenó el reconocimiento de la indemnización en dinero a hogares víctimas de desplazamiento forzado y definió el empleo de la figura de los efectos </w:t>
            </w:r>
            <w:r w:rsidRPr="000C5539">
              <w:rPr>
                <w:rFonts w:ascii="Arial Narrow" w:hAnsi="Arial Narrow" w:cs="Arial"/>
                <w:i/>
                <w:sz w:val="20"/>
                <w:szCs w:val="20"/>
                <w:lang w:val="es-ES_tradnl"/>
              </w:rPr>
              <w:t xml:space="preserve">inter </w:t>
            </w:r>
            <w:proofErr w:type="spellStart"/>
            <w:r w:rsidRPr="000C5539">
              <w:rPr>
                <w:rFonts w:ascii="Arial Narrow" w:hAnsi="Arial Narrow" w:cs="Arial"/>
                <w:i/>
                <w:sz w:val="20"/>
                <w:szCs w:val="20"/>
                <w:lang w:val="es-ES_tradnl"/>
              </w:rPr>
              <w:t>comunis</w:t>
            </w:r>
            <w:proofErr w:type="spellEnd"/>
            <w:r w:rsidRPr="000C5539">
              <w:rPr>
                <w:rFonts w:ascii="Arial Narrow" w:hAnsi="Arial Narrow" w:cs="Arial"/>
                <w:i/>
                <w:sz w:val="20"/>
                <w:szCs w:val="20"/>
                <w:lang w:val="es-ES_tradnl"/>
              </w:rPr>
              <w:t>,</w:t>
            </w:r>
            <w:r w:rsidRPr="000C5539">
              <w:rPr>
                <w:rFonts w:ascii="Arial Narrow" w:hAnsi="Arial Narrow" w:cs="Arial"/>
                <w:sz w:val="20"/>
                <w:szCs w:val="20"/>
                <w:lang w:val="es-ES_tradnl"/>
              </w:rPr>
              <w:t xml:space="preserve"> para modular su providencia, con el propósito de asegurar el derecho a la igualdad de las víctimas del desplazamiento forzado, como un universo objetivo de personas que se encontraban en la misma situación de los </w:t>
            </w:r>
            <w:r w:rsidR="00EB6D41">
              <w:rPr>
                <w:rFonts w:ascii="Arial Narrow" w:hAnsi="Arial Narrow" w:cs="Arial"/>
                <w:sz w:val="20"/>
                <w:szCs w:val="20"/>
                <w:lang w:val="es-ES_tradnl"/>
              </w:rPr>
              <w:t>accionantes</w:t>
            </w:r>
            <w:r w:rsidRPr="000C5539">
              <w:rPr>
                <w:rFonts w:ascii="Arial Narrow" w:hAnsi="Arial Narrow" w:cs="Arial"/>
                <w:sz w:val="20"/>
                <w:szCs w:val="20"/>
                <w:lang w:val="es-ES_tradnl"/>
              </w:rPr>
              <w:t>, ordenando, en consecuencia, a la Unidad para las Víctimas reconocer y pagar en dinero la indemnización</w:t>
            </w:r>
            <w:r w:rsidR="00A74227">
              <w:rPr>
                <w:rFonts w:ascii="Arial Narrow" w:hAnsi="Arial Narrow" w:cs="Arial"/>
                <w:sz w:val="20"/>
                <w:szCs w:val="20"/>
                <w:lang w:val="es-ES_tradnl"/>
              </w:rPr>
              <w:t xml:space="preserve"> individual por vía</w:t>
            </w:r>
            <w:r w:rsidRPr="000C5539">
              <w:rPr>
                <w:rFonts w:ascii="Arial Narrow" w:hAnsi="Arial Narrow" w:cs="Arial"/>
                <w:sz w:val="20"/>
                <w:szCs w:val="20"/>
                <w:lang w:val="es-ES_tradnl"/>
              </w:rPr>
              <w:t xml:space="preserve"> administrativa a víctimas de desplazamiento forzado, de conformidad con lo establecido en los artículos 132 de la Ley 1448 de 2011 y 2.2.7.3.10 del Decreto 1084 de 2015.</w:t>
            </w:r>
          </w:p>
          <w:p w14:paraId="014FD8A9" w14:textId="77777777" w:rsidR="000C5539" w:rsidRPr="000C5539" w:rsidRDefault="000C5539" w:rsidP="00BA0D2B">
            <w:pPr>
              <w:adjustRightInd w:val="0"/>
              <w:jc w:val="both"/>
              <w:rPr>
                <w:rFonts w:ascii="Arial Narrow" w:hAnsi="Arial Narrow" w:cs="Arial"/>
                <w:sz w:val="20"/>
                <w:szCs w:val="20"/>
                <w:lang w:val="es-ES_tradnl"/>
              </w:rPr>
            </w:pPr>
          </w:p>
          <w:p w14:paraId="6F378430" w14:textId="77777777" w:rsidR="000C5539" w:rsidRPr="000C5539" w:rsidRDefault="00782E6D" w:rsidP="00BA0D2B">
            <w:pPr>
              <w:adjustRightInd w:val="0"/>
              <w:jc w:val="both"/>
              <w:rPr>
                <w:rFonts w:ascii="Arial Narrow" w:hAnsi="Arial Narrow" w:cs="Arial"/>
                <w:sz w:val="20"/>
                <w:szCs w:val="20"/>
                <w:lang w:val="es-ES_tradnl"/>
              </w:rPr>
            </w:pPr>
            <w:r>
              <w:rPr>
                <w:rFonts w:ascii="Arial Narrow" w:hAnsi="Arial Narrow" w:cs="Arial"/>
                <w:sz w:val="20"/>
                <w:szCs w:val="20"/>
                <w:lang w:val="es-ES_tradnl"/>
              </w:rPr>
              <w:t xml:space="preserve">La mencionada Sentencia </w:t>
            </w:r>
            <w:r w:rsidR="00355B31">
              <w:rPr>
                <w:rFonts w:ascii="Arial Narrow" w:hAnsi="Arial Narrow" w:cs="Arial"/>
                <w:sz w:val="20"/>
                <w:szCs w:val="20"/>
                <w:lang w:val="es-ES_tradnl"/>
              </w:rPr>
              <w:t xml:space="preserve">de </w:t>
            </w:r>
            <w:r w:rsidRPr="000C5539">
              <w:rPr>
                <w:rFonts w:ascii="Arial Narrow" w:hAnsi="Arial Narrow" w:cs="Arial"/>
                <w:sz w:val="20"/>
                <w:szCs w:val="20"/>
                <w:lang w:val="es-ES_tradnl"/>
              </w:rPr>
              <w:t xml:space="preserve">2013 ha significado una demanda de mayores recursos para el pago de </w:t>
            </w:r>
            <w:r>
              <w:rPr>
                <w:rFonts w:ascii="Arial Narrow" w:hAnsi="Arial Narrow" w:cs="Arial"/>
                <w:sz w:val="20"/>
                <w:szCs w:val="20"/>
                <w:lang w:val="es-ES_tradnl"/>
              </w:rPr>
              <w:t>medida antes referida</w:t>
            </w:r>
            <w:r w:rsidRPr="000C5539">
              <w:rPr>
                <w:rFonts w:ascii="Arial Narrow" w:hAnsi="Arial Narrow" w:cs="Arial"/>
                <w:sz w:val="20"/>
                <w:szCs w:val="20"/>
                <w:lang w:val="es-ES_tradnl"/>
              </w:rPr>
              <w:t xml:space="preserve">, y en consecuencia </w:t>
            </w:r>
            <w:r>
              <w:rPr>
                <w:rFonts w:ascii="Arial Narrow" w:hAnsi="Arial Narrow" w:cs="Arial"/>
                <w:sz w:val="20"/>
                <w:szCs w:val="20"/>
                <w:lang w:val="es-ES_tradnl"/>
              </w:rPr>
              <w:t xml:space="preserve">una prolongación en el </w:t>
            </w:r>
            <w:r w:rsidRPr="000C5539">
              <w:rPr>
                <w:rFonts w:ascii="Arial Narrow" w:hAnsi="Arial Narrow" w:cs="Arial"/>
                <w:sz w:val="20"/>
                <w:szCs w:val="20"/>
                <w:lang w:val="es-ES_tradnl"/>
              </w:rPr>
              <w:t xml:space="preserve">tiempo </w:t>
            </w:r>
            <w:r>
              <w:rPr>
                <w:rFonts w:ascii="Arial Narrow" w:hAnsi="Arial Narrow" w:cs="Arial"/>
                <w:sz w:val="20"/>
                <w:szCs w:val="20"/>
                <w:lang w:val="es-ES_tradnl"/>
              </w:rPr>
              <w:t xml:space="preserve">para que todas víctimas </w:t>
            </w:r>
            <w:r>
              <w:rPr>
                <w:rFonts w:ascii="Arial Narrow" w:hAnsi="Arial Narrow" w:cs="Arial"/>
                <w:sz w:val="20"/>
                <w:szCs w:val="20"/>
                <w:lang w:val="es-ES_tradnl"/>
              </w:rPr>
              <w:lastRenderedPageBreak/>
              <w:t>puedan acceder</w:t>
            </w:r>
            <w:r w:rsidRPr="000C5539">
              <w:rPr>
                <w:rFonts w:ascii="Arial Narrow" w:hAnsi="Arial Narrow" w:cs="Arial"/>
                <w:sz w:val="20"/>
                <w:szCs w:val="20"/>
                <w:lang w:val="es-ES_tradnl"/>
              </w:rPr>
              <w:t xml:space="preserve"> a la</w:t>
            </w:r>
            <w:r>
              <w:rPr>
                <w:rFonts w:ascii="Arial Narrow" w:hAnsi="Arial Narrow" w:cs="Arial"/>
                <w:sz w:val="20"/>
                <w:szCs w:val="20"/>
                <w:lang w:val="es-ES_tradnl"/>
              </w:rPr>
              <w:t xml:space="preserve"> </w:t>
            </w:r>
            <w:r w:rsidRPr="000C5539">
              <w:rPr>
                <w:rFonts w:ascii="Arial Narrow" w:hAnsi="Arial Narrow" w:cs="Arial"/>
                <w:sz w:val="20"/>
                <w:szCs w:val="20"/>
                <w:lang w:val="es-ES_tradnl"/>
              </w:rPr>
              <w:t>indemnización</w:t>
            </w:r>
            <w:r>
              <w:rPr>
                <w:rFonts w:ascii="Arial Narrow" w:hAnsi="Arial Narrow" w:cs="Arial"/>
                <w:sz w:val="20"/>
                <w:szCs w:val="20"/>
                <w:lang w:val="es-ES_tradnl"/>
              </w:rPr>
              <w:t xml:space="preserve"> administrativa, toda vez que, e</w:t>
            </w:r>
            <w:r w:rsidR="000C5539" w:rsidRPr="000C5539">
              <w:rPr>
                <w:rFonts w:ascii="Arial Narrow" w:hAnsi="Arial Narrow" w:cs="Arial"/>
                <w:sz w:val="20"/>
                <w:szCs w:val="20"/>
                <w:lang w:val="es-ES_tradnl"/>
              </w:rPr>
              <w:t xml:space="preserve">l </w:t>
            </w:r>
            <w:r>
              <w:rPr>
                <w:rFonts w:ascii="Arial Narrow" w:hAnsi="Arial Narrow" w:cs="Arial"/>
                <w:sz w:val="20"/>
                <w:szCs w:val="20"/>
                <w:lang w:val="es-ES_tradnl"/>
              </w:rPr>
              <w:t xml:space="preserve">referido </w:t>
            </w:r>
            <w:r w:rsidR="00A74227">
              <w:rPr>
                <w:rFonts w:ascii="Arial Narrow" w:hAnsi="Arial Narrow" w:cs="Arial"/>
                <w:sz w:val="20"/>
                <w:szCs w:val="20"/>
                <w:lang w:val="es-ES_tradnl"/>
              </w:rPr>
              <w:t xml:space="preserve">documento </w:t>
            </w:r>
            <w:r w:rsidR="000C5539" w:rsidRPr="000C5539">
              <w:rPr>
                <w:rFonts w:ascii="Arial Narrow" w:hAnsi="Arial Narrow" w:cs="Arial"/>
                <w:sz w:val="20"/>
                <w:szCs w:val="20"/>
                <w:lang w:val="es-ES_tradnl"/>
              </w:rPr>
              <w:t>CONPES 3712 de 2011</w:t>
            </w:r>
            <w:r>
              <w:rPr>
                <w:rFonts w:ascii="Arial Narrow" w:hAnsi="Arial Narrow" w:cs="Arial"/>
                <w:sz w:val="20"/>
                <w:szCs w:val="20"/>
                <w:lang w:val="es-ES_tradnl"/>
              </w:rPr>
              <w:t>,</w:t>
            </w:r>
            <w:r w:rsidR="000C5539" w:rsidRPr="000C5539">
              <w:rPr>
                <w:rFonts w:ascii="Arial Narrow" w:hAnsi="Arial Narrow" w:cs="Arial"/>
                <w:sz w:val="20"/>
                <w:szCs w:val="20"/>
                <w:lang w:val="es-ES_tradnl"/>
              </w:rPr>
              <w:t xml:space="preserve"> costeó la entrega de la </w:t>
            </w:r>
            <w:r>
              <w:rPr>
                <w:rFonts w:ascii="Arial Narrow" w:hAnsi="Arial Narrow" w:cs="Arial"/>
                <w:sz w:val="20"/>
                <w:szCs w:val="20"/>
                <w:lang w:val="es-ES_tradnl"/>
              </w:rPr>
              <w:t>medida</w:t>
            </w:r>
            <w:r w:rsidR="00A74227" w:rsidRPr="000C5539">
              <w:rPr>
                <w:rFonts w:ascii="Arial Narrow" w:hAnsi="Arial Narrow" w:cs="Arial"/>
                <w:sz w:val="20"/>
                <w:szCs w:val="20"/>
                <w:lang w:val="es-ES_tradnl"/>
              </w:rPr>
              <w:t xml:space="preserve"> </w:t>
            </w:r>
            <w:r w:rsidR="000C5539" w:rsidRPr="000C5539">
              <w:rPr>
                <w:rFonts w:ascii="Arial Narrow" w:hAnsi="Arial Narrow" w:cs="Arial"/>
                <w:sz w:val="20"/>
                <w:szCs w:val="20"/>
                <w:lang w:val="es-ES_tradnl"/>
              </w:rPr>
              <w:t xml:space="preserve">a los hogares desplazados a través </w:t>
            </w:r>
            <w:r>
              <w:rPr>
                <w:rFonts w:ascii="Arial Narrow" w:hAnsi="Arial Narrow" w:cs="Arial"/>
                <w:sz w:val="20"/>
                <w:szCs w:val="20"/>
                <w:lang w:val="es-ES_tradnl"/>
              </w:rPr>
              <w:t xml:space="preserve">de subsidios de vivienda </w:t>
            </w:r>
            <w:r w:rsidR="000C5539" w:rsidRPr="000C5539">
              <w:rPr>
                <w:rFonts w:ascii="Arial Narrow" w:hAnsi="Arial Narrow" w:cs="Arial"/>
                <w:sz w:val="20"/>
                <w:szCs w:val="20"/>
                <w:lang w:val="es-ES_tradnl"/>
              </w:rPr>
              <w:t>y para las víctimas de los demás</w:t>
            </w:r>
            <w:r w:rsidR="008F5CCE">
              <w:rPr>
                <w:rFonts w:ascii="Arial Narrow" w:hAnsi="Arial Narrow" w:cs="Arial"/>
                <w:sz w:val="20"/>
                <w:szCs w:val="20"/>
                <w:lang w:val="es-ES_tradnl"/>
              </w:rPr>
              <w:t xml:space="preserve"> hechos victimizantes, en </w:t>
            </w:r>
            <w:r>
              <w:rPr>
                <w:rFonts w:ascii="Arial Narrow" w:hAnsi="Arial Narrow" w:cs="Arial"/>
                <w:sz w:val="20"/>
                <w:szCs w:val="20"/>
                <w:lang w:val="es-ES_tradnl"/>
              </w:rPr>
              <w:t>dinero</w:t>
            </w:r>
            <w:r w:rsidR="000C5539" w:rsidRPr="000C5539">
              <w:rPr>
                <w:rFonts w:ascii="Arial Narrow" w:hAnsi="Arial Narrow" w:cs="Arial"/>
                <w:sz w:val="20"/>
                <w:szCs w:val="20"/>
                <w:lang w:val="es-ES_tradnl"/>
              </w:rPr>
              <w:t>.</w:t>
            </w:r>
          </w:p>
          <w:p w14:paraId="3FD71981" w14:textId="77777777" w:rsidR="000C5539" w:rsidRDefault="000C5539" w:rsidP="00BA0D2B">
            <w:pPr>
              <w:adjustRightInd w:val="0"/>
              <w:jc w:val="both"/>
              <w:rPr>
                <w:rFonts w:ascii="Arial Narrow" w:hAnsi="Arial Narrow" w:cs="Arial"/>
                <w:sz w:val="20"/>
                <w:szCs w:val="20"/>
                <w:lang w:val="es-ES_tradnl"/>
              </w:rPr>
            </w:pPr>
          </w:p>
          <w:p w14:paraId="39FA36D1" w14:textId="77777777" w:rsidR="008F5CCE" w:rsidRPr="00912B48" w:rsidRDefault="008F5CCE" w:rsidP="00BA0D2B">
            <w:pPr>
              <w:adjustRightInd w:val="0"/>
              <w:jc w:val="both"/>
              <w:rPr>
                <w:rFonts w:ascii="Arial Narrow" w:hAnsi="Arial Narrow" w:cs="Arial"/>
                <w:sz w:val="20"/>
                <w:szCs w:val="20"/>
              </w:rPr>
            </w:pPr>
            <w:r w:rsidRPr="00912B48">
              <w:rPr>
                <w:rFonts w:ascii="Arial Narrow" w:hAnsi="Arial Narrow" w:cs="Arial"/>
                <w:sz w:val="20"/>
                <w:szCs w:val="20"/>
              </w:rPr>
              <w:t>De otro lado, cabe anotar que en virtud del</w:t>
            </w:r>
            <w:r w:rsidR="00782E6D" w:rsidRPr="00912B48">
              <w:rPr>
                <w:rFonts w:ascii="Arial Narrow" w:hAnsi="Arial Narrow" w:cs="Arial"/>
                <w:sz w:val="20"/>
                <w:szCs w:val="20"/>
              </w:rPr>
              <w:t xml:space="preserve"> </w:t>
            </w:r>
            <w:r w:rsidRPr="00912B48">
              <w:rPr>
                <w:rFonts w:ascii="Arial Narrow" w:hAnsi="Arial Narrow" w:cs="Arial"/>
                <w:sz w:val="20"/>
                <w:szCs w:val="20"/>
              </w:rPr>
              <w:t>Auto de seguimiento No.119 de 2013</w:t>
            </w:r>
            <w:r w:rsidR="00912B48" w:rsidRPr="00912B48">
              <w:rPr>
                <w:rFonts w:ascii="Arial Narrow" w:hAnsi="Arial Narrow" w:cs="Arial"/>
                <w:sz w:val="20"/>
                <w:szCs w:val="20"/>
              </w:rPr>
              <w:t xml:space="preserve">, sobre los </w:t>
            </w:r>
            <w:r w:rsidR="00912B48" w:rsidRPr="00912B48">
              <w:rPr>
                <w:rFonts w:ascii="Arial Narrow" w:hAnsi="Arial Narrow"/>
                <w:sz w:val="20"/>
                <w:szCs w:val="20"/>
              </w:rPr>
              <w:t xml:space="preserve">deberes de asistencia, atención y protección a la población desplazada, </w:t>
            </w:r>
            <w:r w:rsidRPr="00912B48">
              <w:rPr>
                <w:rFonts w:ascii="Arial Narrow" w:hAnsi="Arial Narrow" w:cs="Arial"/>
                <w:sz w:val="20"/>
                <w:szCs w:val="20"/>
              </w:rPr>
              <w:t>la Corte Constitucional</w:t>
            </w:r>
            <w:r w:rsidR="00912B48" w:rsidRPr="00912B48">
              <w:rPr>
                <w:rFonts w:ascii="Arial Narrow" w:hAnsi="Arial Narrow" w:cs="Arial"/>
                <w:sz w:val="20"/>
                <w:szCs w:val="20"/>
              </w:rPr>
              <w:t xml:space="preserve"> explicó que “</w:t>
            </w:r>
            <w:r w:rsidRPr="00912B48">
              <w:rPr>
                <w:rFonts w:ascii="Arial Narrow" w:hAnsi="Arial Narrow"/>
                <w:sz w:val="20"/>
                <w:szCs w:val="20"/>
              </w:rPr>
              <w:t>es indiferente que el desplazamiento se presente c</w:t>
            </w:r>
            <w:r w:rsidR="00912B48" w:rsidRPr="00912B48">
              <w:rPr>
                <w:rFonts w:ascii="Arial Narrow" w:hAnsi="Arial Narrow"/>
                <w:sz w:val="20"/>
                <w:szCs w:val="20"/>
              </w:rPr>
              <w:t>on ocasión del conflicto armado”</w:t>
            </w:r>
            <w:r w:rsidRPr="00912B48">
              <w:rPr>
                <w:rFonts w:ascii="Arial Narrow" w:hAnsi="Arial Narrow"/>
                <w:sz w:val="20"/>
                <w:szCs w:val="20"/>
              </w:rPr>
              <w:t>.</w:t>
            </w:r>
            <w:r w:rsidR="00912B48" w:rsidRPr="00912B48">
              <w:rPr>
                <w:rFonts w:ascii="Arial Narrow" w:hAnsi="Arial Narrow"/>
                <w:sz w:val="20"/>
                <w:szCs w:val="20"/>
              </w:rPr>
              <w:t xml:space="preserve"> No obstante, respecto de las medidas de Reparación Integral adoptadas en el marco de la aplicación de Justicia Transicional, como lo es la medida de indemnización individual por vía administrativa, “</w:t>
            </w:r>
            <w:r w:rsidRPr="00912B48">
              <w:rPr>
                <w:rFonts w:ascii="Arial Narrow" w:hAnsi="Arial Narrow"/>
                <w:sz w:val="20"/>
                <w:szCs w:val="20"/>
              </w:rPr>
              <w:t>por regla general, se tiene que establecer la conexión, cercana y suficiente con el conflicto armado interno</w:t>
            </w:r>
            <w:r w:rsidR="00912B48" w:rsidRPr="00912B48">
              <w:rPr>
                <w:rFonts w:ascii="Arial Narrow" w:hAnsi="Arial Narrow"/>
                <w:sz w:val="20"/>
                <w:szCs w:val="20"/>
              </w:rPr>
              <w:t>” […]</w:t>
            </w:r>
            <w:r w:rsidRPr="00912B48">
              <w:rPr>
                <w:rFonts w:ascii="Arial Narrow" w:hAnsi="Arial Narrow"/>
                <w:sz w:val="20"/>
                <w:szCs w:val="20"/>
              </w:rPr>
              <w:t xml:space="preserve">, </w:t>
            </w:r>
            <w:r w:rsidR="00912B48" w:rsidRPr="00912B48">
              <w:rPr>
                <w:rFonts w:ascii="Arial Narrow" w:hAnsi="Arial Narrow"/>
                <w:sz w:val="20"/>
                <w:szCs w:val="20"/>
              </w:rPr>
              <w:t>“</w:t>
            </w:r>
            <w:r w:rsidRPr="00912B48">
              <w:rPr>
                <w:rFonts w:ascii="Arial Narrow" w:hAnsi="Arial Narrow"/>
                <w:sz w:val="20"/>
                <w:szCs w:val="20"/>
              </w:rPr>
              <w:t>para que ese segmento quede cobijado por el marco previsto en la Ley 1448.</w:t>
            </w:r>
            <w:r w:rsidR="00912B48" w:rsidRPr="00912B48">
              <w:rPr>
                <w:rFonts w:ascii="Arial Narrow" w:hAnsi="Arial Narrow"/>
                <w:sz w:val="20"/>
                <w:szCs w:val="20"/>
              </w:rPr>
              <w:t>”</w:t>
            </w:r>
          </w:p>
          <w:p w14:paraId="4F15B84E" w14:textId="77777777" w:rsidR="008F5CCE" w:rsidRPr="00912B48" w:rsidRDefault="008F5CCE" w:rsidP="00BA0D2B">
            <w:pPr>
              <w:adjustRightInd w:val="0"/>
              <w:jc w:val="both"/>
              <w:rPr>
                <w:rFonts w:ascii="Arial Narrow" w:hAnsi="Arial Narrow" w:cs="Arial"/>
                <w:sz w:val="20"/>
                <w:szCs w:val="20"/>
              </w:rPr>
            </w:pPr>
          </w:p>
          <w:p w14:paraId="0F4C7403" w14:textId="77777777" w:rsidR="00D42C2E" w:rsidRDefault="003C4903" w:rsidP="00BA0D2B">
            <w:pPr>
              <w:adjustRightInd w:val="0"/>
              <w:jc w:val="both"/>
              <w:rPr>
                <w:rFonts w:ascii="Arial Narrow" w:hAnsi="Arial Narrow" w:cs="Arial"/>
                <w:sz w:val="20"/>
                <w:szCs w:val="20"/>
                <w:lang w:val="es-ES_tradnl"/>
              </w:rPr>
            </w:pPr>
            <w:r>
              <w:rPr>
                <w:rFonts w:ascii="Arial Narrow" w:hAnsi="Arial Narrow" w:cs="Arial"/>
                <w:sz w:val="20"/>
                <w:szCs w:val="20"/>
                <w:lang w:val="es-ES_tradnl"/>
              </w:rPr>
              <w:t>En el contexto descrito</w:t>
            </w:r>
            <w:r w:rsidR="000C5539" w:rsidRPr="000C5539">
              <w:rPr>
                <w:rFonts w:ascii="Arial Narrow" w:hAnsi="Arial Narrow" w:cs="Arial"/>
                <w:sz w:val="20"/>
                <w:szCs w:val="20"/>
                <w:lang w:val="es-ES_tradnl"/>
              </w:rPr>
              <w:t>, la Unidad para la</w:t>
            </w:r>
            <w:r w:rsidR="00B522EE">
              <w:rPr>
                <w:rFonts w:ascii="Arial Narrow" w:hAnsi="Arial Narrow" w:cs="Arial"/>
                <w:sz w:val="20"/>
                <w:szCs w:val="20"/>
                <w:lang w:val="es-ES_tradnl"/>
              </w:rPr>
              <w:t>s</w:t>
            </w:r>
            <w:r w:rsidR="000C5539" w:rsidRPr="000C5539">
              <w:rPr>
                <w:rFonts w:ascii="Arial Narrow" w:hAnsi="Arial Narrow" w:cs="Arial"/>
                <w:sz w:val="20"/>
                <w:szCs w:val="20"/>
                <w:lang w:val="es-ES_tradnl"/>
              </w:rPr>
              <w:t xml:space="preserve"> Víctimas se ha </w:t>
            </w:r>
            <w:r>
              <w:rPr>
                <w:rFonts w:ascii="Arial Narrow" w:hAnsi="Arial Narrow" w:cs="Arial"/>
                <w:sz w:val="20"/>
                <w:szCs w:val="20"/>
                <w:lang w:val="es-ES_tradnl"/>
              </w:rPr>
              <w:t>vio</w:t>
            </w:r>
            <w:r w:rsidR="000C5539" w:rsidRPr="000C5539">
              <w:rPr>
                <w:rFonts w:ascii="Arial Narrow" w:hAnsi="Arial Narrow" w:cs="Arial"/>
                <w:sz w:val="20"/>
                <w:szCs w:val="20"/>
                <w:lang w:val="es-ES_tradnl"/>
              </w:rPr>
              <w:t xml:space="preserve"> inmersa en un sin número de derechos de petición, acciones </w:t>
            </w:r>
            <w:r w:rsidR="00D42C2E">
              <w:rPr>
                <w:rFonts w:ascii="Arial Narrow" w:hAnsi="Arial Narrow" w:cs="Arial"/>
                <w:sz w:val="20"/>
                <w:szCs w:val="20"/>
                <w:lang w:val="es-ES_tradnl"/>
              </w:rPr>
              <w:t>constitucionales</w:t>
            </w:r>
            <w:r w:rsidR="000C5539" w:rsidRPr="000C5539">
              <w:rPr>
                <w:rFonts w:ascii="Arial Narrow" w:hAnsi="Arial Narrow" w:cs="Arial"/>
                <w:sz w:val="20"/>
                <w:szCs w:val="20"/>
                <w:lang w:val="es-ES_tradnl"/>
              </w:rPr>
              <w:t xml:space="preserve"> y otro tipo de</w:t>
            </w:r>
            <w:r>
              <w:rPr>
                <w:rFonts w:ascii="Arial Narrow" w:hAnsi="Arial Narrow" w:cs="Arial"/>
                <w:sz w:val="20"/>
                <w:szCs w:val="20"/>
                <w:lang w:val="es-ES_tradnl"/>
              </w:rPr>
              <w:t xml:space="preserve"> trámites judiciales, que buscaban</w:t>
            </w:r>
            <w:r w:rsidR="000C5539" w:rsidRPr="000C5539">
              <w:rPr>
                <w:rFonts w:ascii="Arial Narrow" w:hAnsi="Arial Narrow" w:cs="Arial"/>
                <w:sz w:val="20"/>
                <w:szCs w:val="20"/>
                <w:lang w:val="es-ES_tradnl"/>
              </w:rPr>
              <w:t xml:space="preserve"> </w:t>
            </w:r>
            <w:r w:rsidR="00D42C2E">
              <w:rPr>
                <w:rFonts w:ascii="Arial Narrow" w:hAnsi="Arial Narrow" w:cs="Arial"/>
                <w:sz w:val="20"/>
                <w:szCs w:val="20"/>
                <w:lang w:val="es-ES_tradnl"/>
              </w:rPr>
              <w:t xml:space="preserve">que el </w:t>
            </w:r>
            <w:r w:rsidR="000C5539" w:rsidRPr="000C5539">
              <w:rPr>
                <w:rFonts w:ascii="Arial Narrow" w:hAnsi="Arial Narrow" w:cs="Arial"/>
                <w:sz w:val="20"/>
                <w:szCs w:val="20"/>
                <w:lang w:val="es-ES_tradnl"/>
              </w:rPr>
              <w:t>desembolso de la medida de indemnización administrativa</w:t>
            </w:r>
            <w:r>
              <w:rPr>
                <w:rFonts w:ascii="Arial Narrow" w:hAnsi="Arial Narrow" w:cs="Arial"/>
                <w:sz w:val="20"/>
                <w:szCs w:val="20"/>
                <w:lang w:val="es-ES_tradnl"/>
              </w:rPr>
              <w:t xml:space="preserve"> se produjera</w:t>
            </w:r>
            <w:r w:rsidR="00D42C2E">
              <w:rPr>
                <w:rFonts w:ascii="Arial Narrow" w:hAnsi="Arial Narrow" w:cs="Arial"/>
                <w:sz w:val="20"/>
                <w:szCs w:val="20"/>
                <w:lang w:val="es-ES_tradnl"/>
              </w:rPr>
              <w:t xml:space="preserve"> de forma </w:t>
            </w:r>
            <w:r w:rsidR="00D42C2E" w:rsidRPr="000C5539">
              <w:rPr>
                <w:rFonts w:ascii="Arial Narrow" w:hAnsi="Arial Narrow" w:cs="Arial"/>
                <w:sz w:val="20"/>
                <w:szCs w:val="20"/>
                <w:lang w:val="es-ES_tradnl"/>
              </w:rPr>
              <w:t>inmediat</w:t>
            </w:r>
            <w:r w:rsidR="00D42C2E">
              <w:rPr>
                <w:rFonts w:ascii="Arial Narrow" w:hAnsi="Arial Narrow" w:cs="Arial"/>
                <w:sz w:val="20"/>
                <w:szCs w:val="20"/>
                <w:lang w:val="es-ES_tradnl"/>
              </w:rPr>
              <w:t>a</w:t>
            </w:r>
            <w:r w:rsidR="000C5539" w:rsidRPr="000C5539">
              <w:rPr>
                <w:rFonts w:ascii="Arial Narrow" w:hAnsi="Arial Narrow" w:cs="Arial"/>
                <w:sz w:val="20"/>
                <w:szCs w:val="20"/>
                <w:lang w:val="es-ES_tradnl"/>
              </w:rPr>
              <w:t xml:space="preserve">, </w:t>
            </w:r>
            <w:r w:rsidR="00D42C2E">
              <w:rPr>
                <w:rFonts w:ascii="Arial Narrow" w:hAnsi="Arial Narrow" w:cs="Arial"/>
                <w:sz w:val="20"/>
                <w:szCs w:val="20"/>
                <w:lang w:val="es-ES_tradnl"/>
              </w:rPr>
              <w:t xml:space="preserve">requerimientos que </w:t>
            </w:r>
            <w:r w:rsidR="004063BA">
              <w:rPr>
                <w:rFonts w:ascii="Arial Narrow" w:hAnsi="Arial Narrow" w:cs="Arial"/>
                <w:sz w:val="20"/>
                <w:szCs w:val="20"/>
                <w:lang w:val="es-ES_tradnl"/>
              </w:rPr>
              <w:t>a</w:t>
            </w:r>
            <w:r>
              <w:rPr>
                <w:rFonts w:ascii="Arial Narrow" w:hAnsi="Arial Narrow" w:cs="Arial"/>
                <w:sz w:val="20"/>
                <w:szCs w:val="20"/>
                <w:lang w:val="es-ES_tradnl"/>
              </w:rPr>
              <w:t>centuaron</w:t>
            </w:r>
            <w:r w:rsidR="00D42C2E">
              <w:rPr>
                <w:rFonts w:ascii="Arial Narrow" w:hAnsi="Arial Narrow" w:cs="Arial"/>
                <w:sz w:val="20"/>
                <w:szCs w:val="20"/>
                <w:lang w:val="es-ES_tradnl"/>
              </w:rPr>
              <w:t xml:space="preserve"> la necesidad de disponer </w:t>
            </w:r>
            <w:r>
              <w:rPr>
                <w:rFonts w:ascii="Arial Narrow" w:hAnsi="Arial Narrow" w:cs="Arial"/>
                <w:sz w:val="20"/>
                <w:szCs w:val="20"/>
                <w:lang w:val="es-ES_tradnl"/>
              </w:rPr>
              <w:t>de</w:t>
            </w:r>
            <w:r w:rsidR="00D42C2E">
              <w:rPr>
                <w:rFonts w:ascii="Arial Narrow" w:hAnsi="Arial Narrow" w:cs="Arial"/>
                <w:sz w:val="20"/>
                <w:szCs w:val="20"/>
                <w:lang w:val="es-ES_tradnl"/>
              </w:rPr>
              <w:t xml:space="preserve"> una mayor cantidad de recursos para tal propósito.</w:t>
            </w:r>
          </w:p>
          <w:p w14:paraId="030B4B3E" w14:textId="77777777" w:rsidR="00684B11" w:rsidRDefault="00684B11" w:rsidP="00684B11">
            <w:pPr>
              <w:adjustRightInd w:val="0"/>
              <w:jc w:val="both"/>
              <w:rPr>
                <w:rFonts w:ascii="Arial Narrow" w:hAnsi="Arial Narrow" w:cs="Arial"/>
                <w:sz w:val="20"/>
                <w:szCs w:val="20"/>
                <w:lang w:val="es-ES_tradnl"/>
              </w:rPr>
            </w:pPr>
          </w:p>
          <w:p w14:paraId="63524D2F" w14:textId="77777777" w:rsidR="00684B11" w:rsidRPr="00684B11" w:rsidRDefault="00E57CD7" w:rsidP="00684B11">
            <w:pPr>
              <w:adjustRightInd w:val="0"/>
              <w:jc w:val="both"/>
              <w:rPr>
                <w:rFonts w:ascii="Arial Narrow" w:hAnsi="Arial Narrow" w:cs="Arial"/>
                <w:sz w:val="20"/>
                <w:szCs w:val="20"/>
                <w:lang w:val="es-ES_tradnl"/>
              </w:rPr>
            </w:pPr>
            <w:r>
              <w:rPr>
                <w:rFonts w:ascii="Arial Narrow" w:hAnsi="Arial Narrow" w:cs="Arial"/>
                <w:sz w:val="20"/>
                <w:szCs w:val="20"/>
                <w:lang w:val="es-ES_tradnl"/>
              </w:rPr>
              <w:t xml:space="preserve">Así las cosas, </w:t>
            </w:r>
            <w:r w:rsidR="00684B11" w:rsidRPr="00684B11">
              <w:rPr>
                <w:rFonts w:ascii="Arial Narrow" w:hAnsi="Arial Narrow" w:cs="Arial"/>
                <w:sz w:val="20"/>
                <w:szCs w:val="20"/>
                <w:lang w:val="es-ES_tradnl"/>
              </w:rPr>
              <w:t xml:space="preserve">la Corte Constitucional emitió el Auto 206 de 2017 donde precisó que el propósito de la indemnización administrativa </w:t>
            </w:r>
            <w:r w:rsidR="00684B11" w:rsidRPr="00684B11">
              <w:rPr>
                <w:rFonts w:ascii="Arial Narrow" w:hAnsi="Arial Narrow" w:cs="Arial"/>
                <w:i/>
                <w:sz w:val="20"/>
                <w:szCs w:val="20"/>
                <w:lang w:val="es-ES_tradnl"/>
              </w:rPr>
              <w:t>“(…) no consiste en satisfacer las necesidades más inmediatas de las personas desplazadas, sino en restablecer su dignidad, compensando económicamente el daño sufrido, para así fortalecer o reconstruir su proyecto de vida (…)”</w:t>
            </w:r>
            <w:r w:rsidR="00684B11" w:rsidRPr="00684B11">
              <w:rPr>
                <w:rFonts w:ascii="Arial Narrow" w:hAnsi="Arial Narrow" w:cs="Arial"/>
                <w:sz w:val="20"/>
                <w:szCs w:val="20"/>
                <w:lang w:val="es-ES_tradnl"/>
              </w:rPr>
              <w:t xml:space="preserve">; sin embargo, también reconoció la existencia de víctimas quienes enfrentan una situación de vulnerabilidad debido a factores como la edad y la discapacidad que les impide darse su propio sustento. De allí que el Tribunal Constitucional haya aceptado que para estas personas resulte </w:t>
            </w:r>
            <w:r w:rsidR="00684B11" w:rsidRPr="00684B11">
              <w:rPr>
                <w:rFonts w:ascii="Arial Narrow" w:hAnsi="Arial Narrow" w:cs="Arial"/>
                <w:i/>
                <w:sz w:val="20"/>
                <w:szCs w:val="20"/>
                <w:lang w:val="es-ES_tradnl"/>
              </w:rPr>
              <w:t>“(…) razonable darles un trato prioritario en lo concerniente al acceso a la indemnización administrativa (…)”</w:t>
            </w:r>
            <w:r w:rsidR="00684B11" w:rsidRPr="00684B11">
              <w:rPr>
                <w:rFonts w:ascii="Arial Narrow" w:hAnsi="Arial Narrow" w:cs="Arial"/>
                <w:sz w:val="20"/>
                <w:szCs w:val="20"/>
                <w:lang w:val="es-ES_tradnl"/>
              </w:rPr>
              <w:t>.</w:t>
            </w:r>
          </w:p>
          <w:p w14:paraId="6767DEBD" w14:textId="77777777" w:rsidR="00B374C6" w:rsidRDefault="00B374C6" w:rsidP="00BA0D2B">
            <w:pPr>
              <w:adjustRightInd w:val="0"/>
              <w:jc w:val="both"/>
              <w:rPr>
                <w:rFonts w:ascii="Arial Narrow" w:hAnsi="Arial Narrow" w:cs="Arial"/>
                <w:sz w:val="20"/>
                <w:szCs w:val="20"/>
                <w:lang w:val="es-ES_tradnl"/>
              </w:rPr>
            </w:pPr>
          </w:p>
          <w:p w14:paraId="16D8E143" w14:textId="77777777" w:rsidR="00684B11" w:rsidRDefault="00E57CD7" w:rsidP="00BA0D2B">
            <w:pPr>
              <w:adjustRightInd w:val="0"/>
              <w:jc w:val="both"/>
              <w:rPr>
                <w:rFonts w:ascii="Arial Narrow" w:hAnsi="Arial Narrow" w:cs="Arial"/>
                <w:sz w:val="20"/>
                <w:szCs w:val="20"/>
                <w:lang w:val="es-ES_tradnl"/>
              </w:rPr>
            </w:pPr>
            <w:r>
              <w:rPr>
                <w:rFonts w:ascii="Arial Narrow" w:hAnsi="Arial Narrow" w:cs="Arial"/>
                <w:sz w:val="20"/>
                <w:szCs w:val="20"/>
                <w:lang w:val="es-ES_tradnl"/>
              </w:rPr>
              <w:t>E</w:t>
            </w:r>
            <w:r w:rsidR="00684B11" w:rsidRPr="00684B11">
              <w:rPr>
                <w:rFonts w:ascii="Arial Narrow" w:hAnsi="Arial Narrow" w:cs="Arial"/>
                <w:sz w:val="20"/>
                <w:szCs w:val="20"/>
                <w:lang w:val="es-ES_tradnl"/>
              </w:rPr>
              <w:t xml:space="preserve">n </w:t>
            </w:r>
            <w:r>
              <w:rPr>
                <w:rFonts w:ascii="Arial Narrow" w:hAnsi="Arial Narrow" w:cs="Arial"/>
                <w:sz w:val="20"/>
                <w:szCs w:val="20"/>
                <w:lang w:val="es-ES_tradnl"/>
              </w:rPr>
              <w:t xml:space="preserve">el mismo Auto 206 de 2017, </w:t>
            </w:r>
            <w:r w:rsidR="00684B11" w:rsidRPr="00684B11">
              <w:rPr>
                <w:rFonts w:ascii="Arial Narrow" w:hAnsi="Arial Narrow" w:cs="Arial"/>
                <w:sz w:val="20"/>
                <w:szCs w:val="20"/>
                <w:lang w:val="es-ES_tradnl"/>
              </w:rPr>
              <w:t>la Corte Constitucional también encontró:</w:t>
            </w:r>
            <w:r w:rsidR="00684B11" w:rsidRPr="00003BD6">
              <w:rPr>
                <w:rFonts w:ascii="Arial Narrow" w:hAnsi="Arial Narrow" w:cs="Arial"/>
                <w:i/>
                <w:sz w:val="20"/>
                <w:szCs w:val="20"/>
                <w:lang w:val="es-ES_tradnl"/>
              </w:rPr>
              <w:t>“(…) razonable que los programas masivos de reparación administrativa, propios de contextos de violencia generalizada y sistemática, no se encuentren en la capacidad de indemnizar por completo a todas las víctimas en un mismo momento. En este tipo de situaciones, la Corte encontró que es legítimo definir plazos razonables para otorgar la indemnización administrativa y acoger en esa dirección, determinados criterios que permitan priorizar la entrega de las medidas que correspondan (…)”</w:t>
            </w:r>
            <w:r w:rsidR="00684B11" w:rsidRPr="00684B11">
              <w:rPr>
                <w:rFonts w:ascii="Arial Narrow" w:hAnsi="Arial Narrow" w:cs="Arial"/>
                <w:sz w:val="20"/>
                <w:szCs w:val="20"/>
                <w:lang w:val="es-ES_tradnl"/>
              </w:rPr>
              <w:t>. Bajo este contexto, ordenó al Gobierno Nacional reglamentar el procedimiento que deben agotar las personas víctimas para la obtención de la indemnización administrativa, con criterios puntuales y objetivos.</w:t>
            </w:r>
          </w:p>
          <w:p w14:paraId="194690B3" w14:textId="77777777" w:rsidR="00684B11" w:rsidRDefault="00684B11" w:rsidP="00BA0D2B">
            <w:pPr>
              <w:adjustRightInd w:val="0"/>
              <w:jc w:val="both"/>
              <w:rPr>
                <w:rFonts w:ascii="Arial Narrow" w:hAnsi="Arial Narrow" w:cs="Arial"/>
                <w:sz w:val="20"/>
                <w:szCs w:val="20"/>
                <w:lang w:val="es-ES_tradnl"/>
              </w:rPr>
            </w:pPr>
          </w:p>
          <w:p w14:paraId="4329CFD6" w14:textId="77777777" w:rsidR="00003BD6" w:rsidRPr="000C5539" w:rsidRDefault="00E57CD7" w:rsidP="00003BD6">
            <w:pPr>
              <w:adjustRightInd w:val="0"/>
              <w:jc w:val="both"/>
              <w:rPr>
                <w:rFonts w:ascii="Arial Narrow" w:hAnsi="Arial Narrow" w:cs="Arial"/>
                <w:sz w:val="20"/>
                <w:szCs w:val="20"/>
                <w:lang w:val="es-ES_tradnl"/>
              </w:rPr>
            </w:pPr>
            <w:r>
              <w:rPr>
                <w:rFonts w:ascii="Arial Narrow" w:hAnsi="Arial Narrow" w:cs="Arial"/>
                <w:sz w:val="20"/>
                <w:szCs w:val="20"/>
                <w:lang w:val="es-ES_tradnl"/>
              </w:rPr>
              <w:t>E</w:t>
            </w:r>
            <w:r w:rsidR="00003BD6" w:rsidRPr="000C5539">
              <w:rPr>
                <w:rFonts w:ascii="Arial Narrow" w:hAnsi="Arial Narrow" w:cs="Arial"/>
                <w:sz w:val="20"/>
                <w:szCs w:val="20"/>
                <w:lang w:val="es-ES_tradnl"/>
              </w:rPr>
              <w:t xml:space="preserve">l Gobierno ha realizado un importante esfuerzo en materia fiscal para atender, asistir y reparar a las víctimas del conflicto armado interno y de manera especial a la población víctima de desplazamiento forzado. Sin embargo, existe una imposibilidad </w:t>
            </w:r>
            <w:r w:rsidR="00003BD6">
              <w:rPr>
                <w:rFonts w:ascii="Arial Narrow" w:hAnsi="Arial Narrow" w:cs="Arial"/>
                <w:sz w:val="20"/>
                <w:szCs w:val="20"/>
                <w:lang w:val="es-ES_tradnl"/>
              </w:rPr>
              <w:t>presupuestal</w:t>
            </w:r>
            <w:r w:rsidR="00003BD6" w:rsidRPr="000C5539">
              <w:rPr>
                <w:rFonts w:ascii="Arial Narrow" w:hAnsi="Arial Narrow" w:cs="Arial"/>
                <w:sz w:val="20"/>
                <w:szCs w:val="20"/>
                <w:lang w:val="es-ES_tradnl"/>
              </w:rPr>
              <w:t xml:space="preserve"> para indemnizar por vía administrativa a todas las víctimas en un mismo momento, situación que </w:t>
            </w:r>
            <w:r w:rsidR="00003BD6">
              <w:rPr>
                <w:rFonts w:ascii="Arial Narrow" w:hAnsi="Arial Narrow" w:cs="Arial"/>
                <w:sz w:val="20"/>
                <w:szCs w:val="20"/>
                <w:lang w:val="es-ES_tradnl"/>
              </w:rPr>
              <w:t>condiciona</w:t>
            </w:r>
            <w:r w:rsidR="00003BD6" w:rsidRPr="000C5539">
              <w:rPr>
                <w:rFonts w:ascii="Arial Narrow" w:hAnsi="Arial Narrow" w:cs="Arial"/>
                <w:sz w:val="20"/>
                <w:szCs w:val="20"/>
                <w:lang w:val="es-ES_tradnl"/>
              </w:rPr>
              <w:t xml:space="preserve"> el reconocimiento de la indemnización administrativa a la aplicación de criterios de priorización para el desembolso, en el marco de los principios de gradualidad, progresividad y sostenibilidad fiscal.</w:t>
            </w:r>
          </w:p>
          <w:p w14:paraId="3617100C" w14:textId="77777777" w:rsidR="00003BD6" w:rsidRDefault="00003BD6" w:rsidP="00BA0D2B">
            <w:pPr>
              <w:adjustRightInd w:val="0"/>
              <w:jc w:val="both"/>
              <w:rPr>
                <w:rFonts w:ascii="Arial Narrow" w:hAnsi="Arial Narrow" w:cs="Arial"/>
                <w:sz w:val="20"/>
                <w:szCs w:val="20"/>
                <w:lang w:val="es-ES_tradnl"/>
              </w:rPr>
            </w:pPr>
          </w:p>
          <w:p w14:paraId="2DCF64E4" w14:textId="77777777" w:rsidR="00E57CD7" w:rsidRDefault="00E57CD7" w:rsidP="00E57CD7">
            <w:pPr>
              <w:adjustRightInd w:val="0"/>
              <w:jc w:val="both"/>
              <w:rPr>
                <w:rFonts w:ascii="Arial Narrow" w:hAnsi="Arial Narrow" w:cs="Arial"/>
                <w:sz w:val="20"/>
                <w:szCs w:val="20"/>
              </w:rPr>
            </w:pPr>
            <w:r w:rsidRPr="00E57CD7">
              <w:rPr>
                <w:rFonts w:ascii="Arial Narrow" w:hAnsi="Arial Narrow" w:cs="Arial"/>
                <w:sz w:val="20"/>
                <w:szCs w:val="20"/>
              </w:rPr>
              <w:t xml:space="preserve">Conforme al texto de las bases del Plan Nacional de Desarrollo 2018-2022 </w:t>
            </w:r>
            <w:r w:rsidR="00FE3042" w:rsidRPr="00B90BC2">
              <w:rPr>
                <w:rFonts w:ascii="Arial Narrow" w:hAnsi="Arial Narrow" w:cs="Arial"/>
                <w:i/>
                <w:sz w:val="20"/>
                <w:szCs w:val="20"/>
              </w:rPr>
              <w:t>“</w:t>
            </w:r>
            <w:r w:rsidRPr="00B90BC2">
              <w:rPr>
                <w:rFonts w:ascii="Arial Narrow" w:hAnsi="Arial Narrow" w:cs="Arial"/>
                <w:i/>
                <w:sz w:val="20"/>
                <w:szCs w:val="20"/>
              </w:rPr>
              <w:t>la medida de indemnización ha sido recibida aproximadamente por el 12% de las víctimas del conflicto armado que tendrían derecho a ella, lo que representa una brecha significativa a pocos años de finalizar la vigencia de la Ley de Víctimas. Así, a septiembre de 2018 la medida de indemnización ha sido recibida por 865.997 personas, frente a los 6.714.679 de víctimas que son sujeto de ella incluidas en el Registro Único de Víctimas</w:t>
            </w:r>
            <w:r w:rsidR="00FE3042" w:rsidRPr="00B90BC2">
              <w:rPr>
                <w:rFonts w:ascii="Arial Narrow" w:hAnsi="Arial Narrow" w:cs="Arial"/>
                <w:i/>
                <w:sz w:val="20"/>
                <w:szCs w:val="20"/>
              </w:rPr>
              <w:t>”</w:t>
            </w:r>
            <w:r w:rsidRPr="00B90BC2">
              <w:rPr>
                <w:rFonts w:ascii="Arial Narrow" w:hAnsi="Arial Narrow" w:cs="Arial"/>
                <w:i/>
                <w:sz w:val="20"/>
                <w:szCs w:val="20"/>
              </w:rPr>
              <w:t>.</w:t>
            </w:r>
          </w:p>
          <w:p w14:paraId="085E5214" w14:textId="77777777" w:rsidR="002F5F73" w:rsidRPr="002F5F73" w:rsidRDefault="002F5F73" w:rsidP="00E57CD7">
            <w:pPr>
              <w:adjustRightInd w:val="0"/>
              <w:jc w:val="both"/>
              <w:rPr>
                <w:rFonts w:ascii="Arial Narrow" w:hAnsi="Arial Narrow" w:cs="Arial"/>
                <w:sz w:val="20"/>
                <w:szCs w:val="20"/>
                <w:lang w:val="es-ES_tradnl"/>
              </w:rPr>
            </w:pPr>
          </w:p>
          <w:p w14:paraId="257F752D" w14:textId="77777777" w:rsidR="00E57CD7" w:rsidRPr="00E57CD7" w:rsidRDefault="00E57CD7" w:rsidP="00E57CD7">
            <w:pPr>
              <w:adjustRightInd w:val="0"/>
              <w:jc w:val="both"/>
              <w:rPr>
                <w:rFonts w:ascii="Arial Narrow" w:hAnsi="Arial Narrow" w:cs="Arial"/>
                <w:sz w:val="20"/>
                <w:szCs w:val="20"/>
              </w:rPr>
            </w:pPr>
            <w:r w:rsidRPr="00E57CD7">
              <w:rPr>
                <w:rFonts w:ascii="Arial Narrow" w:hAnsi="Arial Narrow" w:cs="Arial"/>
                <w:sz w:val="20"/>
                <w:szCs w:val="20"/>
              </w:rPr>
              <w:t>Siguiendo con lo expuesto, el ritmo de pago de las indemnizaciones administrativas está limitado</w:t>
            </w:r>
            <w:r>
              <w:rPr>
                <w:rFonts w:ascii="Arial Narrow" w:hAnsi="Arial Narrow" w:cs="Arial"/>
                <w:sz w:val="20"/>
                <w:szCs w:val="20"/>
              </w:rPr>
              <w:t xml:space="preserve"> principalmente </w:t>
            </w:r>
            <w:r w:rsidRPr="00E57CD7">
              <w:rPr>
                <w:rFonts w:ascii="Arial Narrow" w:hAnsi="Arial Narrow" w:cs="Arial"/>
                <w:sz w:val="20"/>
                <w:szCs w:val="20"/>
              </w:rPr>
              <w:t>por las siguientes situaciones: (1) la disponibilidad de recursos financieros; (</w:t>
            </w:r>
            <w:r>
              <w:rPr>
                <w:rFonts w:ascii="Arial Narrow" w:hAnsi="Arial Narrow" w:cs="Arial"/>
                <w:sz w:val="20"/>
                <w:szCs w:val="20"/>
              </w:rPr>
              <w:t>2</w:t>
            </w:r>
            <w:r w:rsidRPr="00E57CD7">
              <w:rPr>
                <w:rFonts w:ascii="Arial Narrow" w:hAnsi="Arial Narrow" w:cs="Arial"/>
                <w:sz w:val="20"/>
                <w:szCs w:val="20"/>
              </w:rPr>
              <w:t>) el pago de indemnizaciones judiciales; y (</w:t>
            </w:r>
            <w:r>
              <w:rPr>
                <w:rFonts w:ascii="Arial Narrow" w:hAnsi="Arial Narrow" w:cs="Arial"/>
                <w:sz w:val="20"/>
                <w:szCs w:val="20"/>
              </w:rPr>
              <w:t>3</w:t>
            </w:r>
            <w:r w:rsidRPr="00E57CD7">
              <w:rPr>
                <w:rFonts w:ascii="Arial Narrow" w:hAnsi="Arial Narrow" w:cs="Arial"/>
                <w:sz w:val="20"/>
                <w:szCs w:val="20"/>
              </w:rPr>
              <w:t>) el crecimiento del universo de víctimas.</w:t>
            </w:r>
            <w:r>
              <w:rPr>
                <w:rFonts w:ascii="Arial Narrow" w:hAnsi="Arial Narrow" w:cs="Arial"/>
                <w:sz w:val="20"/>
                <w:szCs w:val="20"/>
              </w:rPr>
              <w:t xml:space="preserve"> </w:t>
            </w:r>
            <w:r w:rsidRPr="00E57CD7">
              <w:rPr>
                <w:rFonts w:ascii="Arial Narrow" w:hAnsi="Arial Narrow" w:cs="Arial"/>
                <w:sz w:val="20"/>
                <w:szCs w:val="20"/>
              </w:rPr>
              <w:t xml:space="preserve">Igualmente, </w:t>
            </w:r>
            <w:r w:rsidR="00FE3042">
              <w:rPr>
                <w:rFonts w:ascii="Arial Narrow" w:hAnsi="Arial Narrow" w:cs="Arial"/>
                <w:sz w:val="20"/>
                <w:szCs w:val="20"/>
              </w:rPr>
              <w:t>si se tiene</w:t>
            </w:r>
            <w:r w:rsidRPr="00E57CD7">
              <w:rPr>
                <w:rFonts w:ascii="Arial Narrow" w:hAnsi="Arial Narrow" w:cs="Arial"/>
                <w:sz w:val="20"/>
                <w:szCs w:val="20"/>
              </w:rPr>
              <w:t xml:space="preserve"> en cuenta que el 88% de las víctimas son desplazadas, es importante precisar que dicha indem</w:t>
            </w:r>
            <w:r w:rsidR="00FE3042">
              <w:rPr>
                <w:rFonts w:ascii="Arial Narrow" w:hAnsi="Arial Narrow" w:cs="Arial"/>
                <w:sz w:val="20"/>
                <w:szCs w:val="20"/>
              </w:rPr>
              <w:t>nización se realiza por hogares, lo que otorga</w:t>
            </w:r>
            <w:r w:rsidRPr="00E57CD7">
              <w:rPr>
                <w:rFonts w:ascii="Arial Narrow" w:hAnsi="Arial Narrow" w:cs="Arial"/>
                <w:sz w:val="20"/>
                <w:szCs w:val="20"/>
              </w:rPr>
              <w:t xml:space="preserve"> montos </w:t>
            </w:r>
            <w:r w:rsidR="00FE3042">
              <w:rPr>
                <w:rFonts w:ascii="Arial Narrow" w:hAnsi="Arial Narrow" w:cs="Arial"/>
                <w:sz w:val="20"/>
                <w:szCs w:val="20"/>
              </w:rPr>
              <w:t xml:space="preserve">superiores </w:t>
            </w:r>
            <w:r w:rsidRPr="00E57CD7">
              <w:rPr>
                <w:rFonts w:ascii="Arial Narrow" w:hAnsi="Arial Narrow" w:cs="Arial"/>
                <w:sz w:val="20"/>
                <w:szCs w:val="20"/>
              </w:rPr>
              <w:t xml:space="preserve">a hogares </w:t>
            </w:r>
            <w:r w:rsidR="00FE3042">
              <w:rPr>
                <w:rFonts w:ascii="Arial Narrow" w:hAnsi="Arial Narrow" w:cs="Arial"/>
                <w:sz w:val="20"/>
                <w:szCs w:val="20"/>
              </w:rPr>
              <w:t>unipersonales</w:t>
            </w:r>
            <w:r>
              <w:rPr>
                <w:rFonts w:ascii="Arial Narrow" w:hAnsi="Arial Narrow" w:cs="Arial"/>
                <w:sz w:val="20"/>
                <w:szCs w:val="20"/>
              </w:rPr>
              <w:t>, resultando ello</w:t>
            </w:r>
            <w:r w:rsidRPr="00E57CD7">
              <w:rPr>
                <w:rFonts w:ascii="Arial Narrow" w:hAnsi="Arial Narrow" w:cs="Arial"/>
                <w:sz w:val="20"/>
                <w:szCs w:val="20"/>
              </w:rPr>
              <w:t xml:space="preserve"> inequitativo</w:t>
            </w:r>
            <w:r w:rsidR="00FE3042">
              <w:rPr>
                <w:rFonts w:ascii="Arial Narrow" w:hAnsi="Arial Narrow" w:cs="Arial"/>
                <w:sz w:val="20"/>
                <w:szCs w:val="20"/>
              </w:rPr>
              <w:t xml:space="preserve"> respecto de aquellos que son numerosos.</w:t>
            </w:r>
          </w:p>
          <w:p w14:paraId="25BF03C2" w14:textId="77777777" w:rsidR="00E57CD7" w:rsidRDefault="00E57CD7" w:rsidP="00BA0D2B">
            <w:pPr>
              <w:adjustRightInd w:val="0"/>
              <w:jc w:val="both"/>
              <w:rPr>
                <w:rFonts w:ascii="Arial Narrow" w:hAnsi="Arial Narrow" w:cs="Arial"/>
                <w:sz w:val="20"/>
                <w:szCs w:val="20"/>
                <w:lang w:val="es-ES_tradnl"/>
              </w:rPr>
            </w:pPr>
          </w:p>
          <w:p w14:paraId="2BFFFD19" w14:textId="77777777" w:rsidR="002F5F73" w:rsidRDefault="00FE3042" w:rsidP="00BA0D2B">
            <w:pPr>
              <w:adjustRightInd w:val="0"/>
              <w:jc w:val="both"/>
              <w:rPr>
                <w:rFonts w:ascii="Arial Narrow" w:hAnsi="Arial Narrow" w:cs="Arial"/>
                <w:i/>
                <w:sz w:val="20"/>
                <w:szCs w:val="20"/>
              </w:rPr>
            </w:pPr>
            <w:r>
              <w:rPr>
                <w:rFonts w:ascii="Arial Narrow" w:hAnsi="Arial Narrow" w:cs="Arial"/>
                <w:sz w:val="20"/>
                <w:szCs w:val="20"/>
                <w:lang w:val="es-ES_tradnl"/>
              </w:rPr>
              <w:lastRenderedPageBreak/>
              <w:t>Por lo mencionado, e</w:t>
            </w:r>
            <w:r w:rsidR="00003BD6" w:rsidRPr="00003BD6">
              <w:rPr>
                <w:rFonts w:ascii="Arial Narrow" w:hAnsi="Arial Narrow" w:cs="Arial"/>
                <w:sz w:val="20"/>
                <w:szCs w:val="20"/>
                <w:lang w:val="es-ES_tradnl"/>
              </w:rPr>
              <w:t xml:space="preserve">l reto de la política de Atención, Asistencia y Reparación </w:t>
            </w:r>
            <w:r>
              <w:rPr>
                <w:rFonts w:ascii="Arial Narrow" w:hAnsi="Arial Narrow" w:cs="Arial"/>
                <w:sz w:val="20"/>
                <w:szCs w:val="20"/>
                <w:lang w:val="es-ES_tradnl"/>
              </w:rPr>
              <w:t>es</w:t>
            </w:r>
            <w:r w:rsidR="00003BD6" w:rsidRPr="00003BD6">
              <w:rPr>
                <w:rFonts w:ascii="Arial Narrow" w:hAnsi="Arial Narrow" w:cs="Arial"/>
                <w:sz w:val="20"/>
                <w:szCs w:val="20"/>
                <w:lang w:val="es-ES_tradnl"/>
              </w:rPr>
              <w:t xml:space="preserve"> enorme, y una de las principales preocupaciones es cumplir con las expectativas de las víctimas, para lo cual es necesario tomar medidas que permitan brinda</w:t>
            </w:r>
            <w:r>
              <w:rPr>
                <w:rFonts w:ascii="Arial Narrow" w:hAnsi="Arial Narrow" w:cs="Arial"/>
                <w:sz w:val="20"/>
                <w:szCs w:val="20"/>
                <w:lang w:val="es-ES_tradnl"/>
              </w:rPr>
              <w:t xml:space="preserve">r una mayor equidad y cobertura, </w:t>
            </w:r>
            <w:r w:rsidR="00B90BC2">
              <w:rPr>
                <w:rFonts w:ascii="Arial Narrow" w:hAnsi="Arial Narrow" w:cs="Arial"/>
                <w:sz w:val="20"/>
                <w:szCs w:val="20"/>
                <w:lang w:val="es-ES_tradnl"/>
              </w:rPr>
              <w:t xml:space="preserve">en concordancia con el </w:t>
            </w:r>
            <w:r w:rsidRPr="00FE3042">
              <w:rPr>
                <w:rFonts w:ascii="Arial Narrow" w:hAnsi="Arial Narrow" w:cs="Arial"/>
                <w:sz w:val="20"/>
                <w:szCs w:val="20"/>
              </w:rPr>
              <w:t xml:space="preserve">texto definitivo </w:t>
            </w:r>
            <w:r>
              <w:rPr>
                <w:rFonts w:ascii="Arial Narrow" w:hAnsi="Arial Narrow" w:cs="Arial"/>
                <w:sz w:val="20"/>
                <w:szCs w:val="20"/>
              </w:rPr>
              <w:t>del</w:t>
            </w:r>
            <w:r w:rsidRPr="00FE3042">
              <w:rPr>
                <w:rFonts w:ascii="Arial Narrow" w:hAnsi="Arial Narrow" w:cs="Arial"/>
                <w:sz w:val="20"/>
                <w:szCs w:val="20"/>
              </w:rPr>
              <w:t xml:space="preserve"> Plan Nacional De Desarrollo 2018-2022 “Pacto Por </w:t>
            </w:r>
            <w:r w:rsidR="00B90BC2">
              <w:rPr>
                <w:rFonts w:ascii="Arial Narrow" w:hAnsi="Arial Narrow" w:cs="Arial"/>
                <w:sz w:val="20"/>
                <w:szCs w:val="20"/>
              </w:rPr>
              <w:t xml:space="preserve">Colombia, Pacto Por La Equidad”, que en desarrollo de uno de sus pactos estructurales, señaló que el su objeto se orienta en la búsqueda de </w:t>
            </w:r>
            <w:r w:rsidR="00B90BC2" w:rsidRPr="00B90BC2">
              <w:rPr>
                <w:rFonts w:ascii="Arial Narrow" w:hAnsi="Arial Narrow" w:cs="Arial"/>
                <w:i/>
                <w:sz w:val="20"/>
                <w:szCs w:val="20"/>
              </w:rPr>
              <w:t xml:space="preserve">“(…) </w:t>
            </w:r>
            <w:r w:rsidRPr="00B90BC2">
              <w:rPr>
                <w:rFonts w:ascii="Arial Narrow" w:hAnsi="Arial Narrow" w:cs="Arial"/>
                <w:i/>
                <w:sz w:val="20"/>
                <w:szCs w:val="20"/>
              </w:rPr>
              <w:t>igualdad de oportunidades para todos, por medio de una política social moderna orientada a lograr la inclusión social y la inclusión productiva de los colombianos, y que se centra en las familias como los principales vehículos para la construcción de lazos de</w:t>
            </w:r>
            <w:r w:rsidR="00B90BC2" w:rsidRPr="00B90BC2">
              <w:rPr>
                <w:rFonts w:ascii="Arial Narrow" w:hAnsi="Arial Narrow" w:cs="Arial"/>
                <w:i/>
                <w:sz w:val="20"/>
                <w:szCs w:val="20"/>
              </w:rPr>
              <w:t xml:space="preserve"> solidaridad y de tejido social (…)”</w:t>
            </w:r>
          </w:p>
          <w:p w14:paraId="169D76D6" w14:textId="77777777" w:rsidR="006A0597" w:rsidRPr="006A0597" w:rsidRDefault="006A0597" w:rsidP="00BA0D2B">
            <w:pPr>
              <w:adjustRightInd w:val="0"/>
              <w:jc w:val="both"/>
              <w:rPr>
                <w:rFonts w:ascii="Arial Narrow" w:hAnsi="Arial Narrow" w:cs="Arial"/>
                <w:sz w:val="20"/>
                <w:szCs w:val="20"/>
              </w:rPr>
            </w:pPr>
          </w:p>
          <w:p w14:paraId="31E49F8C" w14:textId="77777777" w:rsidR="00666842" w:rsidRDefault="000C5539" w:rsidP="00666842">
            <w:pPr>
              <w:adjustRightInd w:val="0"/>
              <w:jc w:val="both"/>
              <w:rPr>
                <w:rFonts w:ascii="Arial Narrow" w:hAnsi="Arial Narrow" w:cs="Arial"/>
                <w:sz w:val="20"/>
                <w:szCs w:val="20"/>
                <w:lang w:val="es-ES_tradnl"/>
              </w:rPr>
            </w:pPr>
            <w:r w:rsidRPr="000C5539">
              <w:rPr>
                <w:rFonts w:ascii="Arial Narrow" w:hAnsi="Arial Narrow" w:cs="Arial"/>
                <w:sz w:val="20"/>
                <w:szCs w:val="20"/>
                <w:lang w:val="es-ES_tradnl"/>
              </w:rPr>
              <w:t>Ahora bien, dadas las</w:t>
            </w:r>
            <w:r w:rsidR="00666842">
              <w:rPr>
                <w:rFonts w:ascii="Arial Narrow" w:hAnsi="Arial Narrow" w:cs="Arial"/>
                <w:sz w:val="20"/>
                <w:szCs w:val="20"/>
                <w:lang w:val="es-ES_tradnl"/>
              </w:rPr>
              <w:t xml:space="preserve"> modificaciones que se realizará</w:t>
            </w:r>
            <w:r w:rsidRPr="000C5539">
              <w:rPr>
                <w:rFonts w:ascii="Arial Narrow" w:hAnsi="Arial Narrow" w:cs="Arial"/>
                <w:sz w:val="20"/>
                <w:szCs w:val="20"/>
                <w:lang w:val="es-ES_tradnl"/>
              </w:rPr>
              <w:t>n en el presente decreto y la realidad presupuestal sobre el pago de la medida de indemnización</w:t>
            </w:r>
            <w:r w:rsidR="00666842">
              <w:rPr>
                <w:rFonts w:ascii="Arial Narrow" w:hAnsi="Arial Narrow" w:cs="Arial"/>
                <w:sz w:val="20"/>
                <w:szCs w:val="20"/>
                <w:lang w:val="es-ES_tradnl"/>
              </w:rPr>
              <w:t xml:space="preserve"> individual por vía administrativa</w:t>
            </w:r>
            <w:r w:rsidRPr="000C5539">
              <w:rPr>
                <w:rFonts w:ascii="Arial Narrow" w:hAnsi="Arial Narrow" w:cs="Arial"/>
                <w:sz w:val="20"/>
                <w:szCs w:val="20"/>
                <w:lang w:val="es-ES_tradnl"/>
              </w:rPr>
              <w:t>, se hace necesario modular los montos</w:t>
            </w:r>
            <w:r w:rsidR="00666842">
              <w:rPr>
                <w:rFonts w:ascii="Arial Narrow" w:hAnsi="Arial Narrow" w:cs="Arial"/>
                <w:sz w:val="20"/>
                <w:szCs w:val="20"/>
                <w:lang w:val="es-ES_tradnl"/>
              </w:rPr>
              <w:t xml:space="preserve"> a reconocer por dicho concepto</w:t>
            </w:r>
            <w:r w:rsidRPr="000C5539">
              <w:rPr>
                <w:rFonts w:ascii="Arial Narrow" w:hAnsi="Arial Narrow" w:cs="Arial"/>
                <w:sz w:val="20"/>
                <w:szCs w:val="20"/>
                <w:lang w:val="es-ES_tradnl"/>
              </w:rPr>
              <w:t xml:space="preserve">, así como </w:t>
            </w:r>
            <w:r w:rsidR="00666842">
              <w:rPr>
                <w:rFonts w:ascii="Arial Narrow" w:hAnsi="Arial Narrow" w:cs="Arial"/>
                <w:sz w:val="20"/>
                <w:szCs w:val="20"/>
                <w:lang w:val="es-ES_tradnl"/>
              </w:rPr>
              <w:t>regular</w:t>
            </w:r>
            <w:r w:rsidRPr="000C5539">
              <w:rPr>
                <w:rFonts w:ascii="Arial Narrow" w:hAnsi="Arial Narrow" w:cs="Arial"/>
                <w:sz w:val="20"/>
                <w:szCs w:val="20"/>
                <w:lang w:val="es-ES_tradnl"/>
              </w:rPr>
              <w:t xml:space="preserve"> </w:t>
            </w:r>
            <w:r w:rsidR="00666842">
              <w:rPr>
                <w:rFonts w:ascii="Arial Narrow" w:hAnsi="Arial Narrow" w:cs="Arial"/>
                <w:sz w:val="20"/>
                <w:szCs w:val="20"/>
                <w:lang w:val="es-ES_tradnl"/>
              </w:rPr>
              <w:t>aspectos del procedimiento para reconocer y realizar el desembolso de la medida.</w:t>
            </w:r>
          </w:p>
          <w:p w14:paraId="2AC9935B" w14:textId="77777777" w:rsidR="000C5539" w:rsidRPr="000C5539" w:rsidRDefault="000C5539" w:rsidP="00666842">
            <w:pPr>
              <w:adjustRightInd w:val="0"/>
              <w:jc w:val="both"/>
              <w:rPr>
                <w:rFonts w:ascii="Arial Narrow" w:hAnsi="Arial Narrow" w:cs="Arial"/>
                <w:sz w:val="20"/>
                <w:szCs w:val="20"/>
                <w:lang w:val="es-ES_tradnl"/>
              </w:rPr>
            </w:pPr>
          </w:p>
        </w:tc>
      </w:tr>
      <w:tr w:rsidR="000C5539" w:rsidRPr="000C5539" w14:paraId="6142D276" w14:textId="77777777" w:rsidTr="00BA0D2B">
        <w:tc>
          <w:tcPr>
            <w:tcW w:w="2439" w:type="dxa"/>
            <w:vAlign w:val="center"/>
          </w:tcPr>
          <w:p w14:paraId="74B4D1C1"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lastRenderedPageBreak/>
              <w:t>1.1 Las normas que otorgan la competencia para la expedición del correspondiente acto.</w:t>
            </w:r>
          </w:p>
        </w:tc>
        <w:tc>
          <w:tcPr>
            <w:tcW w:w="7484" w:type="dxa"/>
            <w:tcBorders>
              <w:top w:val="single" w:sz="4" w:space="0" w:color="auto"/>
            </w:tcBorders>
            <w:vAlign w:val="center"/>
          </w:tcPr>
          <w:p w14:paraId="498E75DE" w14:textId="21EB7B16" w:rsidR="00231A4F" w:rsidRDefault="000C5539" w:rsidP="00666842">
            <w:pPr>
              <w:pStyle w:val="Prrafodelista"/>
              <w:numPr>
                <w:ilvl w:val="0"/>
                <w:numId w:val="2"/>
              </w:numPr>
              <w:tabs>
                <w:tab w:val="left" w:pos="175"/>
              </w:tabs>
              <w:spacing w:line="240" w:lineRule="auto"/>
              <w:ind w:left="0" w:firstLine="0"/>
              <w:jc w:val="both"/>
              <w:rPr>
                <w:rFonts w:ascii="Arial Narrow" w:hAnsi="Arial Narrow" w:cs="Arial"/>
                <w:color w:val="000000"/>
                <w:sz w:val="20"/>
                <w:szCs w:val="20"/>
                <w:lang w:eastAsia="es-CO"/>
              </w:rPr>
            </w:pPr>
            <w:r w:rsidRPr="000C5539">
              <w:rPr>
                <w:rFonts w:ascii="Arial Narrow" w:hAnsi="Arial Narrow" w:cs="Arial"/>
                <w:color w:val="000000"/>
                <w:sz w:val="20"/>
                <w:szCs w:val="20"/>
                <w:lang w:eastAsia="es-CO"/>
              </w:rPr>
              <w:t xml:space="preserve">Artículo 132 de Ley 1448 de 2011 que establece que el Gobierno Nacional deberá reglamentar </w:t>
            </w:r>
            <w:r w:rsidR="00231A4F" w:rsidRPr="00231A4F">
              <w:rPr>
                <w:rFonts w:ascii="Arial Narrow" w:hAnsi="Arial Narrow" w:cs="Arial"/>
                <w:color w:val="000000"/>
                <w:sz w:val="20"/>
                <w:szCs w:val="20"/>
                <w:lang w:eastAsia="es-CO"/>
              </w:rPr>
              <w:t>el trámite,</w:t>
            </w:r>
            <w:r w:rsidR="00231A4F">
              <w:rPr>
                <w:rFonts w:ascii="Arial Narrow" w:hAnsi="Arial Narrow" w:cs="Arial"/>
                <w:color w:val="000000"/>
                <w:sz w:val="20"/>
                <w:szCs w:val="20"/>
                <w:lang w:eastAsia="es-CO"/>
              </w:rPr>
              <w:t xml:space="preserve"> </w:t>
            </w:r>
            <w:r w:rsidR="00231A4F" w:rsidRPr="00231A4F">
              <w:rPr>
                <w:rFonts w:ascii="Arial Narrow" w:hAnsi="Arial Narrow" w:cs="Arial"/>
                <w:color w:val="000000"/>
                <w:sz w:val="20"/>
                <w:szCs w:val="20"/>
                <w:lang w:eastAsia="es-CO"/>
              </w:rPr>
              <w:t>procedimiento, mecanismos, montos y demás lineamientos para otorgar la indemnización individual por la vía administrativa a las víctimas</w:t>
            </w:r>
            <w:r w:rsidR="00231A4F">
              <w:rPr>
                <w:rFonts w:ascii="Arial Narrow" w:hAnsi="Arial Narrow" w:cs="Arial"/>
                <w:color w:val="000000"/>
                <w:sz w:val="20"/>
                <w:szCs w:val="20"/>
                <w:lang w:eastAsia="es-CO"/>
              </w:rPr>
              <w:t>.</w:t>
            </w:r>
          </w:p>
          <w:p w14:paraId="42616195" w14:textId="7B14019A" w:rsidR="00666842" w:rsidRPr="009A6D7E" w:rsidRDefault="00666842" w:rsidP="00666842">
            <w:pPr>
              <w:pStyle w:val="Prrafodelista"/>
              <w:numPr>
                <w:ilvl w:val="0"/>
                <w:numId w:val="2"/>
              </w:numPr>
              <w:tabs>
                <w:tab w:val="left" w:pos="175"/>
              </w:tabs>
              <w:spacing w:line="240" w:lineRule="auto"/>
              <w:ind w:left="0" w:firstLine="0"/>
              <w:jc w:val="both"/>
              <w:rPr>
                <w:rFonts w:ascii="Arial Narrow" w:hAnsi="Arial Narrow" w:cs="Arial"/>
                <w:color w:val="000000"/>
                <w:sz w:val="20"/>
                <w:szCs w:val="20"/>
                <w:lang w:eastAsia="es-CO"/>
              </w:rPr>
            </w:pPr>
            <w:r w:rsidRPr="00666842">
              <w:rPr>
                <w:rFonts w:ascii="Arial Narrow" w:hAnsi="Arial Narrow" w:cs="Arial"/>
                <w:sz w:val="20"/>
                <w:szCs w:val="20"/>
                <w:lang w:val="es-ES_tradnl"/>
              </w:rPr>
              <w:t xml:space="preserve">Artículo 168 de la Ley 1448 de 2011 </w:t>
            </w:r>
            <w:r>
              <w:rPr>
                <w:rFonts w:ascii="Arial Narrow" w:hAnsi="Arial Narrow" w:cs="Arial"/>
                <w:sz w:val="20"/>
                <w:szCs w:val="20"/>
                <w:lang w:val="es-ES_tradnl"/>
              </w:rPr>
              <w:t xml:space="preserve">que establece que la Unidad para las Víctimas tiene la función de administrar </w:t>
            </w:r>
            <w:r w:rsidRPr="00666842">
              <w:rPr>
                <w:rFonts w:ascii="Arial Narrow" w:hAnsi="Arial Narrow" w:cs="Arial"/>
                <w:sz w:val="20"/>
                <w:szCs w:val="20"/>
                <w:lang w:val="es-ES_tradnl"/>
              </w:rPr>
              <w:t xml:space="preserve">los recursos necesarios y hacer entrega a las víctimas de la indemnización por vía administrativa </w:t>
            </w:r>
          </w:p>
          <w:p w14:paraId="2CE970E4" w14:textId="77777777" w:rsidR="000C5539" w:rsidRPr="000C5539" w:rsidRDefault="000C5539" w:rsidP="000C5539">
            <w:pPr>
              <w:pStyle w:val="Prrafodelista"/>
              <w:numPr>
                <w:ilvl w:val="0"/>
                <w:numId w:val="2"/>
              </w:numPr>
              <w:tabs>
                <w:tab w:val="left" w:pos="175"/>
              </w:tabs>
              <w:spacing w:line="240" w:lineRule="auto"/>
              <w:ind w:left="0" w:firstLine="0"/>
              <w:jc w:val="both"/>
              <w:rPr>
                <w:rFonts w:ascii="Arial Narrow" w:hAnsi="Arial Narrow" w:cs="Arial"/>
                <w:color w:val="000000"/>
                <w:sz w:val="20"/>
                <w:szCs w:val="20"/>
                <w:lang w:eastAsia="es-CO"/>
              </w:rPr>
            </w:pPr>
            <w:r w:rsidRPr="000C5539">
              <w:rPr>
                <w:rFonts w:ascii="Arial Narrow" w:hAnsi="Arial Narrow" w:cs="Arial"/>
                <w:color w:val="000000"/>
                <w:sz w:val="20"/>
                <w:szCs w:val="20"/>
                <w:lang w:eastAsia="es-CO"/>
              </w:rPr>
              <w:t xml:space="preserve">Artículo 1.1.1.1 del Decreto 1084 de 2015 establece que el Departamento Administrativo para la Prosperidad Social es la cabeza de Sector de la Inclusión Social y Reconciliación. </w:t>
            </w:r>
          </w:p>
          <w:p w14:paraId="129C938D" w14:textId="77777777" w:rsidR="00666842" w:rsidRDefault="000C5539" w:rsidP="00666842">
            <w:pPr>
              <w:pStyle w:val="Prrafodelista"/>
              <w:numPr>
                <w:ilvl w:val="0"/>
                <w:numId w:val="2"/>
              </w:numPr>
              <w:tabs>
                <w:tab w:val="left" w:pos="175"/>
              </w:tabs>
              <w:spacing w:line="240" w:lineRule="auto"/>
              <w:ind w:left="0" w:firstLine="0"/>
              <w:jc w:val="both"/>
              <w:rPr>
                <w:rFonts w:ascii="Arial Narrow" w:hAnsi="Arial Narrow" w:cs="Arial"/>
                <w:color w:val="000000"/>
                <w:sz w:val="20"/>
                <w:szCs w:val="20"/>
                <w:lang w:eastAsia="es-CO"/>
              </w:rPr>
            </w:pPr>
            <w:r w:rsidRPr="000C5539">
              <w:rPr>
                <w:rFonts w:ascii="Arial Narrow" w:hAnsi="Arial Narrow" w:cs="Arial"/>
                <w:color w:val="000000"/>
                <w:sz w:val="20"/>
                <w:szCs w:val="20"/>
                <w:lang w:eastAsia="es-CO"/>
              </w:rPr>
              <w:t>Artículo 1.2.1.1 del Decreto 1084 de 2015 establece que la Unidad para las Víctimas se encuentra adscrita al Sector de la Inclusión Social y Reconciliación.</w:t>
            </w:r>
          </w:p>
          <w:p w14:paraId="1BD54EF5" w14:textId="77777777" w:rsidR="002F5F73" w:rsidRPr="002F5F73" w:rsidRDefault="000C5539" w:rsidP="002F5F73">
            <w:pPr>
              <w:pStyle w:val="Prrafodelista"/>
              <w:numPr>
                <w:ilvl w:val="0"/>
                <w:numId w:val="2"/>
              </w:numPr>
              <w:tabs>
                <w:tab w:val="left" w:pos="175"/>
              </w:tabs>
              <w:spacing w:line="240" w:lineRule="auto"/>
              <w:ind w:left="0" w:firstLine="0"/>
              <w:jc w:val="both"/>
              <w:rPr>
                <w:rFonts w:ascii="Arial Narrow" w:hAnsi="Arial Narrow" w:cs="Arial"/>
                <w:color w:val="000000"/>
                <w:sz w:val="20"/>
                <w:szCs w:val="20"/>
                <w:lang w:eastAsia="es-CO"/>
              </w:rPr>
            </w:pPr>
            <w:r w:rsidRPr="00666842">
              <w:rPr>
                <w:rFonts w:ascii="Arial Narrow" w:hAnsi="Arial Narrow" w:cs="Arial"/>
                <w:color w:val="000000"/>
                <w:sz w:val="20"/>
                <w:szCs w:val="20"/>
                <w:lang w:eastAsia="es-CO"/>
              </w:rPr>
              <w:t xml:space="preserve">Artículo </w:t>
            </w:r>
            <w:r w:rsidR="00666842" w:rsidRPr="00666842">
              <w:rPr>
                <w:rFonts w:ascii="Arial Narrow" w:hAnsi="Arial Narrow" w:cs="Arial"/>
                <w:color w:val="000000"/>
                <w:sz w:val="20"/>
                <w:szCs w:val="20"/>
                <w:lang w:eastAsia="es-CO"/>
              </w:rPr>
              <w:t xml:space="preserve">2.2.7.3.1. </w:t>
            </w:r>
            <w:r w:rsidRPr="00666842">
              <w:rPr>
                <w:rFonts w:ascii="Arial Narrow" w:hAnsi="Arial Narrow" w:cs="Arial"/>
                <w:color w:val="000000"/>
                <w:sz w:val="20"/>
                <w:szCs w:val="20"/>
                <w:lang w:eastAsia="es-CO"/>
              </w:rPr>
              <w:t xml:space="preserve">del Decreto 1084 de 2015 determina que la Unidad para las Víctimas </w:t>
            </w:r>
            <w:r w:rsidR="00666842" w:rsidRPr="00666842">
              <w:rPr>
                <w:rFonts w:ascii="Arial Narrow" w:hAnsi="Arial Narrow" w:cs="Arial"/>
                <w:color w:val="000000"/>
                <w:sz w:val="20"/>
                <w:szCs w:val="20"/>
                <w:lang w:eastAsia="es-CO"/>
              </w:rPr>
              <w:t>administrará los recursos destinados a la indemnización por vía administrativa velando por el cumplimiento del principio de sostenibilidad</w:t>
            </w:r>
            <w:r w:rsidRPr="00666842">
              <w:rPr>
                <w:rFonts w:ascii="Arial Narrow" w:hAnsi="Arial Narrow" w:cs="Arial"/>
                <w:color w:val="000000"/>
                <w:sz w:val="20"/>
                <w:szCs w:val="20"/>
                <w:lang w:eastAsia="es-CO"/>
              </w:rPr>
              <w:t>.</w:t>
            </w:r>
          </w:p>
        </w:tc>
      </w:tr>
      <w:tr w:rsidR="000C5539" w:rsidRPr="000C5539" w14:paraId="63C746AA" w14:textId="77777777" w:rsidTr="00BA0D2B">
        <w:tc>
          <w:tcPr>
            <w:tcW w:w="2439" w:type="dxa"/>
            <w:vAlign w:val="center"/>
          </w:tcPr>
          <w:p w14:paraId="5B90E151"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1.2 La vigencia de la ley o norma reglamentada o desarrollada.</w:t>
            </w:r>
          </w:p>
        </w:tc>
        <w:tc>
          <w:tcPr>
            <w:tcW w:w="7484" w:type="dxa"/>
            <w:vAlign w:val="center"/>
          </w:tcPr>
          <w:p w14:paraId="6020C235" w14:textId="77777777" w:rsidR="000C5539" w:rsidRPr="000C5539" w:rsidRDefault="00666842" w:rsidP="00BA0D2B">
            <w:pPr>
              <w:ind w:left="30"/>
              <w:jc w:val="both"/>
              <w:rPr>
                <w:rFonts w:ascii="Arial Narrow" w:hAnsi="Arial Narrow" w:cs="Arial"/>
                <w:sz w:val="20"/>
                <w:szCs w:val="20"/>
              </w:rPr>
            </w:pPr>
            <w:r w:rsidRPr="00666842">
              <w:rPr>
                <w:rFonts w:ascii="Arial Narrow" w:hAnsi="Arial Narrow" w:cs="Arial"/>
                <w:sz w:val="20"/>
                <w:szCs w:val="20"/>
              </w:rPr>
              <w:t xml:space="preserve">El presente decreto rige a partir de la fecha de su publicación </w:t>
            </w:r>
          </w:p>
        </w:tc>
      </w:tr>
      <w:tr w:rsidR="000C5539" w:rsidRPr="000C5539" w14:paraId="4F16E97A" w14:textId="77777777" w:rsidTr="00BA0D2B">
        <w:tc>
          <w:tcPr>
            <w:tcW w:w="2439" w:type="dxa"/>
            <w:vAlign w:val="center"/>
          </w:tcPr>
          <w:p w14:paraId="6EEED8AC"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1.3 Las disposiciones derogadas, subrogadas, modificadas, adicionadas o sustituidas, si alguno de estos efectos se produce con la expedición del respectivo acto.</w:t>
            </w:r>
          </w:p>
        </w:tc>
        <w:tc>
          <w:tcPr>
            <w:tcW w:w="7484" w:type="dxa"/>
            <w:vAlign w:val="center"/>
          </w:tcPr>
          <w:p w14:paraId="5BFB346C" w14:textId="40A02C55" w:rsidR="000C5539" w:rsidRPr="000C5539" w:rsidRDefault="006A35C1" w:rsidP="00BA0D2B">
            <w:pPr>
              <w:jc w:val="both"/>
              <w:rPr>
                <w:rFonts w:ascii="Arial Narrow" w:hAnsi="Arial Narrow" w:cs="Arial"/>
                <w:i/>
                <w:sz w:val="20"/>
                <w:szCs w:val="20"/>
                <w:lang w:val="es-ES_tradnl"/>
              </w:rPr>
            </w:pPr>
            <w:r w:rsidRPr="006A35C1">
              <w:rPr>
                <w:rFonts w:ascii="Arial Narrow" w:hAnsi="Arial Narrow" w:cs="Arial"/>
                <w:sz w:val="20"/>
                <w:szCs w:val="20"/>
                <w:lang w:val="es-CO"/>
              </w:rPr>
              <w:t>Deroga todas las disposiciones que le sean contrarias, en especial el Decreto 1377 de 2014, el artículo  26 del Capítulo Único del Título III del Decreto 2569 de 2014 y los artículos 149 y 151 del Capítulo III del Título VII del Decreto 4800 de 2011, unificados en los artículos 2.2.6.5.5.8 del Capítulo 5 del Título 6, 2.2.7.3.4 y 2.2.7.3.6 del Capítulo 3 y del artículo 2.2.7.4.1 al artículo 2.2.7.4.10 del Capítulo 4 del Título 7 de la Parte 2 del Libro 2 del Decreto Único Reglamentario del Sector de Inclusión Social y Reconciliación 1084 de 2015.</w:t>
            </w:r>
          </w:p>
        </w:tc>
      </w:tr>
      <w:tr w:rsidR="000C5539" w:rsidRPr="000C5539" w14:paraId="21261E80" w14:textId="77777777" w:rsidTr="00BA0D2B">
        <w:tc>
          <w:tcPr>
            <w:tcW w:w="2439" w:type="dxa"/>
            <w:vAlign w:val="center"/>
          </w:tcPr>
          <w:p w14:paraId="3D07C9C8" w14:textId="77777777" w:rsidR="000C5539" w:rsidRPr="000C5539" w:rsidRDefault="000C5539" w:rsidP="00666842">
            <w:pPr>
              <w:jc w:val="both"/>
              <w:rPr>
                <w:rFonts w:ascii="Arial Narrow" w:hAnsi="Arial Narrow" w:cs="Arial"/>
                <w:b/>
                <w:sz w:val="20"/>
                <w:szCs w:val="20"/>
                <w:lang w:val="es-CO"/>
              </w:rPr>
            </w:pPr>
            <w:r w:rsidRPr="000C5539">
              <w:rPr>
                <w:rFonts w:ascii="Arial Narrow" w:hAnsi="Arial Narrow" w:cs="Arial"/>
                <w:b/>
                <w:sz w:val="20"/>
                <w:szCs w:val="20"/>
                <w:lang w:val="es-CO"/>
              </w:rPr>
              <w:t xml:space="preserve">2. El ámbito de aplicación del respectivo </w:t>
            </w:r>
            <w:r w:rsidR="00666842">
              <w:rPr>
                <w:rFonts w:ascii="Arial Narrow" w:hAnsi="Arial Narrow" w:cs="Arial"/>
                <w:b/>
                <w:sz w:val="20"/>
                <w:szCs w:val="20"/>
                <w:lang w:val="es-CO"/>
              </w:rPr>
              <w:t>Decreto</w:t>
            </w:r>
            <w:r w:rsidRPr="000C5539">
              <w:rPr>
                <w:rFonts w:ascii="Arial Narrow" w:hAnsi="Arial Narrow" w:cs="Arial"/>
                <w:b/>
                <w:sz w:val="20"/>
                <w:szCs w:val="20"/>
                <w:lang w:val="es-CO"/>
              </w:rPr>
              <w:t xml:space="preserve"> y los sujetos a quienes va dirigido</w:t>
            </w:r>
          </w:p>
        </w:tc>
        <w:tc>
          <w:tcPr>
            <w:tcW w:w="7484" w:type="dxa"/>
            <w:vAlign w:val="center"/>
          </w:tcPr>
          <w:p w14:paraId="6ED4DD0A" w14:textId="77777777" w:rsidR="00666842" w:rsidRPr="005A3F11" w:rsidRDefault="000C5539" w:rsidP="00666842">
            <w:pPr>
              <w:jc w:val="both"/>
              <w:rPr>
                <w:sz w:val="22"/>
                <w:szCs w:val="22"/>
              </w:rPr>
            </w:pPr>
            <w:r w:rsidRPr="000C5539">
              <w:rPr>
                <w:rFonts w:ascii="Arial Narrow" w:eastAsia="Arial" w:hAnsi="Arial Narrow" w:cs="Arial"/>
                <w:sz w:val="20"/>
                <w:szCs w:val="20"/>
              </w:rPr>
              <w:t xml:space="preserve">El presente Decreto se encuentra dirigido a </w:t>
            </w:r>
            <w:r w:rsidR="00666842">
              <w:rPr>
                <w:rFonts w:ascii="Arial Narrow" w:eastAsia="Arial" w:hAnsi="Arial Narrow" w:cs="Arial"/>
                <w:sz w:val="20"/>
                <w:szCs w:val="20"/>
              </w:rPr>
              <w:t>las</w:t>
            </w:r>
            <w:r w:rsidR="00666842" w:rsidRPr="00666842">
              <w:rPr>
                <w:rFonts w:ascii="Arial Narrow" w:eastAsia="Arial" w:hAnsi="Arial Narrow" w:cs="Arial"/>
                <w:sz w:val="20"/>
                <w:szCs w:val="20"/>
              </w:rPr>
              <w:t xml:space="preserve"> víctimas del conflicto armado interno que residen en el territorio nacional y/o en el exterior, que estando incluidas en el Registro Único de Víctimas (RUV) aun tengan pendiente el reconocimiento y desembolso de la medida indemnizatoria por cualquiera de los siguientes hechos: (i) homicidio, (ii) desaparición forzada, (iii) secuestro, (iv) lesiones que generaron incapacidad permanente, (v) lesiones que no generaron incapacidad permanente, (vi) reclutamiento forzado de menores, (vii) delitos contra la libertad e integridad sexual, que contempla a los hijos(as) concebidos como consecuencia de una violación sexual, (viii) tortura o tratos inhumanos o degradantes, (ix) incidente sufrido por una persona con Minas Antipersonal (MAP), Munición Sin Explotar (MUSE), Artefacto Explosivo Improvisado (AEI) y, (x) desplazamiento forzado.</w:t>
            </w:r>
          </w:p>
          <w:p w14:paraId="7730AB3C" w14:textId="77777777" w:rsidR="000C5539" w:rsidRPr="000C5539" w:rsidRDefault="000C5539" w:rsidP="00666842">
            <w:pPr>
              <w:jc w:val="both"/>
              <w:rPr>
                <w:rFonts w:ascii="Arial Narrow" w:hAnsi="Arial Narrow" w:cs="Arial"/>
                <w:sz w:val="20"/>
                <w:szCs w:val="20"/>
              </w:rPr>
            </w:pPr>
          </w:p>
        </w:tc>
      </w:tr>
      <w:tr w:rsidR="000C5539" w:rsidRPr="000C5539" w14:paraId="60B9BF9A" w14:textId="77777777" w:rsidTr="00BA0D2B">
        <w:trPr>
          <w:trHeight w:val="942"/>
        </w:trPr>
        <w:tc>
          <w:tcPr>
            <w:tcW w:w="2439" w:type="dxa"/>
            <w:shd w:val="clear" w:color="auto" w:fill="auto"/>
            <w:vAlign w:val="center"/>
          </w:tcPr>
          <w:p w14:paraId="4E6CD829"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 xml:space="preserve">3. La viabilidad jurídica, que deberá contar con el visto bueno de la oficina jurídica de la entidad o la dependencia que haga sus veces </w:t>
            </w:r>
          </w:p>
        </w:tc>
        <w:tc>
          <w:tcPr>
            <w:tcW w:w="7484" w:type="dxa"/>
            <w:vAlign w:val="center"/>
          </w:tcPr>
          <w:p w14:paraId="40AD778F" w14:textId="77777777" w:rsidR="000C5539" w:rsidRPr="000C5539" w:rsidRDefault="000C5539" w:rsidP="00BA0D2B">
            <w:pPr>
              <w:jc w:val="both"/>
              <w:rPr>
                <w:rFonts w:ascii="Arial Narrow" w:eastAsia="Arial" w:hAnsi="Arial Narrow" w:cs="Arial"/>
                <w:sz w:val="20"/>
                <w:szCs w:val="20"/>
              </w:rPr>
            </w:pPr>
            <w:r w:rsidRPr="000C5539">
              <w:rPr>
                <w:rFonts w:ascii="Arial Narrow" w:eastAsia="Arial" w:hAnsi="Arial Narrow" w:cs="Arial"/>
                <w:sz w:val="20"/>
                <w:szCs w:val="20"/>
              </w:rPr>
              <w:t xml:space="preserve">Los temas establecidos en el proyecto de decreto han sido revisados y se consideran viables jurídicamente. </w:t>
            </w:r>
            <w:r w:rsidR="00D21BE7">
              <w:rPr>
                <w:rFonts w:ascii="Arial Narrow" w:eastAsia="Arial" w:hAnsi="Arial Narrow" w:cs="Arial"/>
                <w:sz w:val="20"/>
                <w:szCs w:val="20"/>
              </w:rPr>
              <w:t>Conforme a</w:t>
            </w:r>
            <w:r w:rsidRPr="000C5539">
              <w:rPr>
                <w:rFonts w:ascii="Arial Narrow" w:eastAsia="Arial" w:hAnsi="Arial Narrow" w:cs="Arial"/>
                <w:sz w:val="20"/>
                <w:szCs w:val="20"/>
              </w:rPr>
              <w:t xml:space="preserve"> lo anterior, a continuación, se </w:t>
            </w:r>
            <w:r w:rsidR="00D21BE7">
              <w:rPr>
                <w:rFonts w:ascii="Arial Narrow" w:eastAsia="Arial" w:hAnsi="Arial Narrow" w:cs="Arial"/>
                <w:sz w:val="20"/>
                <w:szCs w:val="20"/>
              </w:rPr>
              <w:t>explicarán</w:t>
            </w:r>
            <w:r w:rsidRPr="000C5539">
              <w:rPr>
                <w:rFonts w:ascii="Arial Narrow" w:eastAsia="Arial" w:hAnsi="Arial Narrow" w:cs="Arial"/>
                <w:sz w:val="20"/>
                <w:szCs w:val="20"/>
              </w:rPr>
              <w:t xml:space="preserve"> algunos temas que pueden generar dudas, incluyendo la jurisprudencia constitucional relevante sobre la materia.</w:t>
            </w:r>
          </w:p>
          <w:p w14:paraId="59D07A8B" w14:textId="77777777" w:rsidR="000C5539" w:rsidRPr="000C5539" w:rsidRDefault="000C5539" w:rsidP="00BA0D2B">
            <w:pPr>
              <w:jc w:val="both"/>
              <w:rPr>
                <w:rFonts w:ascii="Arial Narrow" w:eastAsia="Arial" w:hAnsi="Arial Narrow" w:cs="Arial"/>
                <w:sz w:val="20"/>
                <w:szCs w:val="20"/>
              </w:rPr>
            </w:pPr>
          </w:p>
          <w:p w14:paraId="2DFA1F48" w14:textId="77777777" w:rsidR="000C5539" w:rsidRPr="000C5539" w:rsidRDefault="000C5539" w:rsidP="00BA0D2B">
            <w:pPr>
              <w:jc w:val="both"/>
              <w:rPr>
                <w:rFonts w:ascii="Arial Narrow" w:eastAsia="Arial" w:hAnsi="Arial Narrow" w:cs="Arial"/>
                <w:b/>
                <w:sz w:val="20"/>
                <w:szCs w:val="20"/>
              </w:rPr>
            </w:pPr>
            <w:r w:rsidRPr="000C5539">
              <w:rPr>
                <w:rFonts w:ascii="Arial Narrow" w:eastAsia="Arial" w:hAnsi="Arial Narrow" w:cs="Arial"/>
                <w:b/>
                <w:sz w:val="20"/>
                <w:szCs w:val="20"/>
              </w:rPr>
              <w:t>Derecho a la indemnización (gradualidad y progresividad)</w:t>
            </w:r>
            <w:r w:rsidR="00D21BE7">
              <w:rPr>
                <w:rFonts w:ascii="Arial Narrow" w:eastAsia="Arial" w:hAnsi="Arial Narrow" w:cs="Arial"/>
                <w:b/>
                <w:sz w:val="20"/>
                <w:szCs w:val="20"/>
              </w:rPr>
              <w:t>:</w:t>
            </w:r>
          </w:p>
          <w:p w14:paraId="6F8EDF80" w14:textId="77777777" w:rsidR="000C5539" w:rsidRPr="00D21BE7" w:rsidRDefault="00CA76F4" w:rsidP="00BA0D2B">
            <w:pPr>
              <w:jc w:val="both"/>
              <w:rPr>
                <w:rFonts w:ascii="Arial Narrow" w:eastAsia="Arial" w:hAnsi="Arial Narrow" w:cs="Arial"/>
                <w:sz w:val="20"/>
                <w:szCs w:val="20"/>
              </w:rPr>
            </w:pPr>
            <w:r w:rsidRPr="00D21BE7">
              <w:rPr>
                <w:rFonts w:ascii="Arial Narrow" w:eastAsia="Arial" w:hAnsi="Arial Narrow" w:cs="Arial"/>
                <w:sz w:val="20"/>
                <w:szCs w:val="20"/>
              </w:rPr>
              <w:lastRenderedPageBreak/>
              <w:t>En el</w:t>
            </w:r>
            <w:r w:rsidR="000C5539" w:rsidRPr="00D21BE7">
              <w:rPr>
                <w:rFonts w:ascii="Arial Narrow" w:eastAsia="Arial" w:hAnsi="Arial Narrow" w:cs="Arial"/>
                <w:sz w:val="20"/>
                <w:szCs w:val="20"/>
              </w:rPr>
              <w:t xml:space="preserve"> Auto 206 de 2017</w:t>
            </w:r>
            <w:r w:rsidRPr="00D21BE7">
              <w:rPr>
                <w:rFonts w:ascii="Arial Narrow" w:eastAsia="Arial" w:hAnsi="Arial Narrow" w:cs="Arial"/>
                <w:sz w:val="20"/>
                <w:szCs w:val="20"/>
              </w:rPr>
              <w:t>,</w:t>
            </w:r>
            <w:r w:rsidR="000C5539" w:rsidRPr="00D21BE7">
              <w:rPr>
                <w:rFonts w:ascii="Arial Narrow" w:eastAsia="Arial" w:hAnsi="Arial Narrow" w:cs="Arial"/>
                <w:sz w:val="20"/>
                <w:szCs w:val="20"/>
              </w:rPr>
              <w:t xml:space="preserve"> la Corte Constitucional </w:t>
            </w:r>
            <w:r w:rsidRPr="00D21BE7">
              <w:rPr>
                <w:rFonts w:ascii="Arial Narrow" w:eastAsia="Arial" w:hAnsi="Arial Narrow" w:cs="Arial"/>
                <w:sz w:val="20"/>
                <w:szCs w:val="20"/>
              </w:rPr>
              <w:t>declaró</w:t>
            </w:r>
            <w:r w:rsidR="000C5539" w:rsidRPr="00D21BE7">
              <w:rPr>
                <w:rFonts w:ascii="Arial Narrow" w:eastAsia="Arial" w:hAnsi="Arial Narrow" w:cs="Arial"/>
                <w:sz w:val="20"/>
                <w:szCs w:val="20"/>
              </w:rPr>
              <w:t xml:space="preserve"> que el derecho a la reparación es</w:t>
            </w:r>
            <w:r w:rsidRPr="00D21BE7">
              <w:rPr>
                <w:rFonts w:ascii="Arial Narrow" w:eastAsia="Arial" w:hAnsi="Arial Narrow" w:cs="Arial"/>
                <w:sz w:val="20"/>
                <w:szCs w:val="20"/>
              </w:rPr>
              <w:t xml:space="preserve"> un derecho</w:t>
            </w:r>
            <w:r w:rsidR="000C5539" w:rsidRPr="00D21BE7">
              <w:rPr>
                <w:rFonts w:ascii="Arial Narrow" w:eastAsia="Arial" w:hAnsi="Arial Narrow" w:cs="Arial"/>
                <w:sz w:val="20"/>
                <w:szCs w:val="20"/>
              </w:rPr>
              <w:t xml:space="preserve"> fundamental, sin embargo, precisó que esto no quiere decir que pueda considerarse como un derecho absoluto que pueda ser exigido inmediatamente por todas las víctimas del conflicto armado. </w:t>
            </w:r>
          </w:p>
          <w:p w14:paraId="5721233D" w14:textId="77777777" w:rsidR="00666842" w:rsidRPr="00D21BE7" w:rsidRDefault="00666842" w:rsidP="00BA0D2B">
            <w:pPr>
              <w:jc w:val="both"/>
              <w:rPr>
                <w:rFonts w:ascii="Arial Narrow" w:eastAsia="Arial" w:hAnsi="Arial Narrow" w:cs="Arial"/>
                <w:sz w:val="20"/>
                <w:szCs w:val="20"/>
              </w:rPr>
            </w:pPr>
          </w:p>
          <w:p w14:paraId="2D51D12C" w14:textId="77777777" w:rsidR="000C5539" w:rsidRPr="00D21BE7" w:rsidRDefault="000C5539" w:rsidP="00BA0D2B">
            <w:pPr>
              <w:jc w:val="both"/>
              <w:rPr>
                <w:rFonts w:ascii="Arial Narrow" w:eastAsia="Arial" w:hAnsi="Arial Narrow" w:cs="Arial"/>
                <w:sz w:val="20"/>
                <w:szCs w:val="20"/>
              </w:rPr>
            </w:pPr>
            <w:r w:rsidRPr="00D21BE7">
              <w:rPr>
                <w:rFonts w:ascii="Arial Narrow" w:eastAsia="Arial" w:hAnsi="Arial Narrow" w:cs="Arial"/>
                <w:sz w:val="20"/>
                <w:szCs w:val="20"/>
              </w:rPr>
              <w:t xml:space="preserve">La Corte </w:t>
            </w:r>
            <w:r w:rsidR="00666842" w:rsidRPr="00D21BE7">
              <w:rPr>
                <w:rFonts w:ascii="Arial Narrow" w:eastAsia="Arial" w:hAnsi="Arial Narrow" w:cs="Arial"/>
                <w:sz w:val="20"/>
                <w:szCs w:val="20"/>
              </w:rPr>
              <w:t xml:space="preserve">Constitucional </w:t>
            </w:r>
            <w:r w:rsidRPr="00D21BE7">
              <w:rPr>
                <w:rFonts w:ascii="Arial Narrow" w:eastAsia="Arial" w:hAnsi="Arial Narrow" w:cs="Arial"/>
                <w:sz w:val="20"/>
                <w:szCs w:val="20"/>
              </w:rPr>
              <w:t xml:space="preserve">estableció que si bien los derechos de las víctimas se reconocen de manera inmediata, su contenido se amplía progresivamente y su cobertura se extiende gradualmente respecto de la totalidad de víctimas a las que se refiere la </w:t>
            </w:r>
            <w:r w:rsidR="00666842" w:rsidRPr="00D21BE7">
              <w:rPr>
                <w:rFonts w:ascii="Arial Narrow" w:eastAsia="Arial" w:hAnsi="Arial Narrow" w:cs="Arial"/>
                <w:sz w:val="20"/>
                <w:szCs w:val="20"/>
              </w:rPr>
              <w:t>L</w:t>
            </w:r>
            <w:r w:rsidRPr="00D21BE7">
              <w:rPr>
                <w:rFonts w:ascii="Arial Narrow" w:eastAsia="Arial" w:hAnsi="Arial Narrow" w:cs="Arial"/>
                <w:sz w:val="20"/>
                <w:szCs w:val="20"/>
              </w:rPr>
              <w:t xml:space="preserve">ey. Por esta razón, encontró razonable que los programas masivos de reparación administrativa, característicos de contextos de violencia generalizada y sistemática, no se encuentren en la capacidad de indemnizar por completo a todas las víctimas en un mismo momento. En este tipo de situaciones, la Corte encontró que es legítimo definir criterios que permitan priorizar la entrega de las medidas que correspondan. </w:t>
            </w:r>
          </w:p>
          <w:p w14:paraId="36D2620C" w14:textId="77777777" w:rsidR="000C5539" w:rsidRPr="000C5539" w:rsidRDefault="000C5539" w:rsidP="00BA0D2B">
            <w:pPr>
              <w:jc w:val="both"/>
              <w:rPr>
                <w:rFonts w:ascii="Arial Narrow" w:eastAsia="Arial" w:hAnsi="Arial Narrow" w:cs="Arial"/>
                <w:b/>
                <w:sz w:val="20"/>
                <w:szCs w:val="20"/>
              </w:rPr>
            </w:pPr>
          </w:p>
          <w:p w14:paraId="400830C3" w14:textId="77777777" w:rsidR="000C5539" w:rsidRPr="000C5539" w:rsidRDefault="00611E0A" w:rsidP="00BA0D2B">
            <w:pPr>
              <w:jc w:val="both"/>
              <w:rPr>
                <w:rFonts w:ascii="Arial Narrow" w:eastAsia="Arial" w:hAnsi="Arial Narrow" w:cs="Arial"/>
                <w:b/>
                <w:sz w:val="20"/>
                <w:szCs w:val="20"/>
                <w:lang w:val="es-CO"/>
              </w:rPr>
            </w:pPr>
            <w:r>
              <w:rPr>
                <w:rFonts w:ascii="Arial Narrow" w:eastAsia="Arial" w:hAnsi="Arial Narrow" w:cs="Arial"/>
                <w:b/>
                <w:sz w:val="20"/>
                <w:szCs w:val="20"/>
                <w:lang w:val="es-CO"/>
              </w:rPr>
              <w:t xml:space="preserve">Priorización </w:t>
            </w:r>
            <w:r w:rsidRPr="00611E0A">
              <w:rPr>
                <w:rFonts w:ascii="Arial Narrow" w:eastAsia="Arial" w:hAnsi="Arial Narrow" w:cs="Arial"/>
                <w:b/>
                <w:sz w:val="20"/>
                <w:szCs w:val="20"/>
                <w:lang w:val="es-CO"/>
              </w:rPr>
              <w:t>en la entrega de la indemnización individual por vía administrativa</w:t>
            </w:r>
            <w:r w:rsidR="000C5539" w:rsidRPr="000C5539">
              <w:rPr>
                <w:rFonts w:ascii="Arial Narrow" w:eastAsia="Arial" w:hAnsi="Arial Narrow" w:cs="Arial"/>
                <w:b/>
                <w:sz w:val="20"/>
                <w:szCs w:val="20"/>
                <w:lang w:val="es-CO"/>
              </w:rPr>
              <w:t>:</w:t>
            </w:r>
          </w:p>
          <w:p w14:paraId="154390D8" w14:textId="77777777" w:rsidR="000C5539" w:rsidRPr="000C5539" w:rsidRDefault="000C5539" w:rsidP="00BA0D2B">
            <w:pPr>
              <w:jc w:val="both"/>
              <w:rPr>
                <w:rFonts w:ascii="Arial Narrow" w:eastAsia="Arial" w:hAnsi="Arial Narrow" w:cs="Arial"/>
                <w:sz w:val="20"/>
                <w:szCs w:val="20"/>
                <w:lang w:val="es-CO"/>
              </w:rPr>
            </w:pPr>
            <w:r w:rsidRPr="000C5539">
              <w:rPr>
                <w:rFonts w:ascii="Arial Narrow" w:eastAsia="Arial" w:hAnsi="Arial Narrow" w:cs="Arial"/>
                <w:sz w:val="20"/>
                <w:szCs w:val="20"/>
                <w:lang w:val="es-CO"/>
              </w:rPr>
              <w:t>La Corte Constitucional, ha considerado que la población víctima del conflicto armado es población vulnerable, en especial tratándose de las personas desplazadas. Sin embargo, la Corte Constitucional en el Auto 206 determinó que, dentro de esta población, hay personas quienes adicionalmente se enfrentan a situaciones aún más gravosas</w:t>
            </w:r>
            <w:r w:rsidRPr="000C5539">
              <w:rPr>
                <w:rFonts w:ascii="Arial Narrow" w:eastAsia="Arial" w:hAnsi="Arial Narrow" w:cs="Arial"/>
                <w:sz w:val="20"/>
                <w:szCs w:val="20"/>
              </w:rPr>
              <w:t xml:space="preserve"> y que deberían recibir la indemnización lo más pronto posible; así consideró como casos excepcionales los de personas que</w:t>
            </w:r>
            <w:r w:rsidRPr="000C5539">
              <w:rPr>
                <w:rFonts w:ascii="Arial Narrow" w:eastAsia="Arial" w:hAnsi="Arial Narrow" w:cs="Arial"/>
                <w:sz w:val="20"/>
                <w:szCs w:val="20"/>
                <w:lang w:val="es-CO"/>
              </w:rPr>
              <w:t xml:space="preserve"> </w:t>
            </w:r>
            <w:r w:rsidRPr="000C5539">
              <w:rPr>
                <w:rFonts w:ascii="Arial Narrow" w:eastAsia="Arial" w:hAnsi="Arial Narrow" w:cs="Arial"/>
                <w:i/>
                <w:sz w:val="20"/>
                <w:szCs w:val="20"/>
                <w:lang w:val="es-CO"/>
              </w:rPr>
              <w:t>“enfrentando un alto grado de vulnerabilidad debido a circunstancias especiales, tales como la edad, la composición del hogar, algún tipo de discapacidad, entre otras, que les dificultan asumir su sostenimiento y cambiar su situación socioeconómica”</w:t>
            </w:r>
          </w:p>
          <w:p w14:paraId="5C186670" w14:textId="77777777" w:rsidR="000C5539" w:rsidRPr="000C5539" w:rsidRDefault="000C5539" w:rsidP="00BA0D2B">
            <w:pPr>
              <w:jc w:val="both"/>
              <w:rPr>
                <w:rFonts w:ascii="Arial Narrow" w:eastAsia="Arial" w:hAnsi="Arial Narrow" w:cs="Arial"/>
                <w:sz w:val="20"/>
                <w:szCs w:val="20"/>
                <w:lang w:val="es-CO"/>
              </w:rPr>
            </w:pPr>
          </w:p>
          <w:p w14:paraId="2F1ECAD4" w14:textId="77777777" w:rsidR="00CA76F4" w:rsidRDefault="000C5539" w:rsidP="00BA0D2B">
            <w:pPr>
              <w:jc w:val="both"/>
              <w:rPr>
                <w:rFonts w:ascii="Arial Narrow" w:eastAsia="Arial" w:hAnsi="Arial Narrow" w:cs="Arial"/>
                <w:sz w:val="20"/>
                <w:szCs w:val="20"/>
              </w:rPr>
            </w:pPr>
            <w:r w:rsidRPr="000C5539">
              <w:rPr>
                <w:rFonts w:ascii="Arial Narrow" w:eastAsia="Arial" w:hAnsi="Arial Narrow" w:cs="Arial"/>
                <w:sz w:val="20"/>
                <w:szCs w:val="20"/>
              </w:rPr>
              <w:t>De acuerdo con lo anterior, la Unidad para las Víctimas</w:t>
            </w:r>
            <w:r w:rsidR="00CA76F4">
              <w:rPr>
                <w:rFonts w:ascii="Arial Narrow" w:eastAsia="Arial" w:hAnsi="Arial Narrow" w:cs="Arial"/>
                <w:sz w:val="20"/>
                <w:szCs w:val="20"/>
              </w:rPr>
              <w:t xml:space="preserve"> debe priorizar </w:t>
            </w:r>
            <w:r w:rsidR="00CA76F4" w:rsidRPr="00CA76F4">
              <w:rPr>
                <w:rFonts w:ascii="Arial Narrow" w:eastAsia="Arial" w:hAnsi="Arial Narrow" w:cs="Arial"/>
                <w:sz w:val="20"/>
                <w:szCs w:val="20"/>
              </w:rPr>
              <w:t xml:space="preserve">la entrega de la Indemnización individual por vía administrativa a las víctimas que acrediten los criterios de urgencia manifiesta o </w:t>
            </w:r>
            <w:r w:rsidR="00CA76F4">
              <w:rPr>
                <w:rFonts w:ascii="Arial Narrow" w:eastAsia="Arial" w:hAnsi="Arial Narrow" w:cs="Arial"/>
                <w:sz w:val="20"/>
                <w:szCs w:val="20"/>
              </w:rPr>
              <w:t>extrema vulnerabilidad, definidos</w:t>
            </w:r>
            <w:r w:rsidR="00CA76F4" w:rsidRPr="00CA76F4">
              <w:rPr>
                <w:rFonts w:ascii="Arial Narrow" w:eastAsia="Arial" w:hAnsi="Arial Narrow" w:cs="Arial"/>
                <w:sz w:val="20"/>
                <w:szCs w:val="20"/>
              </w:rPr>
              <w:t>. Respecto de todos los demás destinatarios de la medida indemnizatoria que no cuenten con alguno de los criterios establecidos, la Unidad para la Atención y Reparación Integral a las Víctimas dará aplicación al Método Técnico de priorización, a través del cual, se generará un orden de entrega de la Indemnización individual por vía administrativa, de acuerdo con la disponibilidad presupuestal anual asignada a la Unidad para la Atención y Reparación Integral a las Víctimas, y de conformidad con el Marco de Gasto de Mediano Plazo del sector</w:t>
            </w:r>
            <w:r w:rsidR="00D21BE7">
              <w:rPr>
                <w:rFonts w:ascii="Arial Narrow" w:eastAsia="Arial" w:hAnsi="Arial Narrow" w:cs="Arial"/>
                <w:sz w:val="20"/>
                <w:szCs w:val="20"/>
              </w:rPr>
              <w:t>.</w:t>
            </w:r>
          </w:p>
          <w:p w14:paraId="4B57EF52" w14:textId="77777777" w:rsidR="00CA76F4" w:rsidRDefault="00CA76F4" w:rsidP="00BA0D2B">
            <w:pPr>
              <w:jc w:val="both"/>
              <w:rPr>
                <w:rFonts w:ascii="Arial Narrow" w:eastAsia="Arial" w:hAnsi="Arial Narrow" w:cs="Arial"/>
                <w:sz w:val="20"/>
                <w:szCs w:val="20"/>
              </w:rPr>
            </w:pPr>
          </w:p>
          <w:p w14:paraId="0785017F" w14:textId="77777777" w:rsidR="000C5539" w:rsidRPr="000C5539" w:rsidRDefault="001E6806" w:rsidP="00BA0D2B">
            <w:pPr>
              <w:jc w:val="both"/>
              <w:rPr>
                <w:rFonts w:ascii="Arial Narrow" w:eastAsia="Arial" w:hAnsi="Arial Narrow" w:cs="Arial"/>
                <w:sz w:val="20"/>
                <w:szCs w:val="20"/>
                <w:lang w:val="es-CO"/>
              </w:rPr>
            </w:pPr>
            <w:r>
              <w:rPr>
                <w:rFonts w:ascii="Arial Narrow" w:eastAsia="Arial" w:hAnsi="Arial Narrow" w:cs="Arial"/>
                <w:sz w:val="20"/>
                <w:szCs w:val="20"/>
                <w:lang w:val="es-CO"/>
              </w:rPr>
              <w:t xml:space="preserve">La priorización de la entrega </w:t>
            </w:r>
            <w:r w:rsidRPr="00CA76F4">
              <w:rPr>
                <w:rFonts w:ascii="Arial Narrow" w:eastAsia="Arial" w:hAnsi="Arial Narrow" w:cs="Arial"/>
                <w:sz w:val="20"/>
                <w:szCs w:val="20"/>
              </w:rPr>
              <w:t xml:space="preserve">de la Indemnización individual por vía administrativa a las víctimas que acrediten los criterios de urgencia manifiesta o </w:t>
            </w:r>
            <w:r>
              <w:rPr>
                <w:rFonts w:ascii="Arial Narrow" w:eastAsia="Arial" w:hAnsi="Arial Narrow" w:cs="Arial"/>
                <w:sz w:val="20"/>
                <w:szCs w:val="20"/>
              </w:rPr>
              <w:t xml:space="preserve">extrema vulnerabilidad y la aplicación del </w:t>
            </w:r>
            <w:r w:rsidRPr="00CA76F4">
              <w:rPr>
                <w:rFonts w:ascii="Arial Narrow" w:eastAsia="Arial" w:hAnsi="Arial Narrow" w:cs="Arial"/>
                <w:sz w:val="20"/>
                <w:szCs w:val="20"/>
              </w:rPr>
              <w:t>Método Técnico de priorización</w:t>
            </w:r>
            <w:r>
              <w:rPr>
                <w:rFonts w:ascii="Arial Narrow" w:eastAsia="Arial" w:hAnsi="Arial Narrow" w:cs="Arial"/>
                <w:sz w:val="20"/>
                <w:szCs w:val="20"/>
                <w:lang w:val="es-CO"/>
              </w:rPr>
              <w:t xml:space="preserve">, </w:t>
            </w:r>
            <w:r w:rsidR="000C5539" w:rsidRPr="000C5539">
              <w:rPr>
                <w:rFonts w:ascii="Arial Narrow" w:eastAsia="Arial" w:hAnsi="Arial Narrow" w:cs="Arial"/>
                <w:sz w:val="20"/>
                <w:szCs w:val="20"/>
                <w:lang w:val="es-CO"/>
              </w:rPr>
              <w:t xml:space="preserve">responde a la necesidad concreta de determinar un orden </w:t>
            </w:r>
            <w:r>
              <w:rPr>
                <w:rFonts w:ascii="Arial Narrow" w:eastAsia="Arial" w:hAnsi="Arial Narrow" w:cs="Arial"/>
                <w:sz w:val="20"/>
                <w:szCs w:val="20"/>
                <w:lang w:val="es-CO"/>
              </w:rPr>
              <w:t>en la</w:t>
            </w:r>
            <w:r w:rsidR="000C5539" w:rsidRPr="000C5539">
              <w:rPr>
                <w:rFonts w:ascii="Arial Narrow" w:eastAsia="Arial" w:hAnsi="Arial Narrow" w:cs="Arial"/>
                <w:sz w:val="20"/>
                <w:szCs w:val="20"/>
                <w:lang w:val="es-CO"/>
              </w:rPr>
              <w:t xml:space="preserve"> entrega progresiva de la indemnización</w:t>
            </w:r>
            <w:r>
              <w:rPr>
                <w:rFonts w:ascii="Arial Narrow" w:eastAsia="Arial" w:hAnsi="Arial Narrow" w:cs="Arial"/>
                <w:sz w:val="20"/>
                <w:szCs w:val="20"/>
                <w:lang w:val="es-CO"/>
              </w:rPr>
              <w:t xml:space="preserve"> individual por vía</w:t>
            </w:r>
            <w:r w:rsidR="000C5539" w:rsidRPr="000C5539">
              <w:rPr>
                <w:rFonts w:ascii="Arial Narrow" w:eastAsia="Arial" w:hAnsi="Arial Narrow" w:cs="Arial"/>
                <w:sz w:val="20"/>
                <w:szCs w:val="20"/>
                <w:lang w:val="es-CO"/>
              </w:rPr>
              <w:t xml:space="preserve"> administrativa, atendiendo </w:t>
            </w:r>
            <w:r>
              <w:rPr>
                <w:rFonts w:ascii="Arial Narrow" w:eastAsia="Arial" w:hAnsi="Arial Narrow" w:cs="Arial"/>
                <w:sz w:val="20"/>
                <w:szCs w:val="20"/>
                <w:lang w:val="es-CO"/>
              </w:rPr>
              <w:t xml:space="preserve">a </w:t>
            </w:r>
            <w:r w:rsidR="000C5539" w:rsidRPr="000C5539">
              <w:rPr>
                <w:rFonts w:ascii="Arial Narrow" w:eastAsia="Arial" w:hAnsi="Arial Narrow" w:cs="Arial"/>
                <w:sz w:val="20"/>
                <w:szCs w:val="20"/>
                <w:lang w:val="es-CO"/>
              </w:rPr>
              <w:t>la situación particular de cada víctima en cualquiera de los hechos victimizantes susceptibles de ser indemnizados.</w:t>
            </w:r>
          </w:p>
          <w:p w14:paraId="14971D69" w14:textId="77777777" w:rsidR="000C5539" w:rsidRPr="001E6806" w:rsidRDefault="000C5539" w:rsidP="00BA0D2B">
            <w:pPr>
              <w:jc w:val="both"/>
              <w:rPr>
                <w:rFonts w:ascii="Arial Narrow" w:eastAsia="Arial" w:hAnsi="Arial Narrow" w:cs="Arial"/>
                <w:sz w:val="20"/>
                <w:szCs w:val="20"/>
                <w:lang w:val="es-CO"/>
              </w:rPr>
            </w:pPr>
          </w:p>
          <w:p w14:paraId="0450086F" w14:textId="77777777" w:rsidR="000C5539" w:rsidRPr="000C5539" w:rsidRDefault="000C5539" w:rsidP="00BA0D2B">
            <w:pPr>
              <w:jc w:val="both"/>
              <w:rPr>
                <w:rFonts w:ascii="Arial Narrow" w:eastAsia="Arial" w:hAnsi="Arial Narrow" w:cs="Arial"/>
                <w:b/>
                <w:sz w:val="20"/>
                <w:szCs w:val="20"/>
              </w:rPr>
            </w:pPr>
            <w:r w:rsidRPr="000C5539">
              <w:rPr>
                <w:rFonts w:ascii="Arial Narrow" w:eastAsia="Arial" w:hAnsi="Arial Narrow" w:cs="Arial"/>
                <w:b/>
                <w:sz w:val="20"/>
                <w:szCs w:val="20"/>
              </w:rPr>
              <w:t xml:space="preserve">Modulación de montos </w:t>
            </w:r>
          </w:p>
          <w:p w14:paraId="0D604226" w14:textId="77777777" w:rsidR="000C5539" w:rsidRPr="000C5539" w:rsidRDefault="000C5539" w:rsidP="00BA0D2B">
            <w:pPr>
              <w:jc w:val="both"/>
              <w:rPr>
                <w:rFonts w:ascii="Arial Narrow" w:eastAsia="Arial" w:hAnsi="Arial Narrow" w:cs="Arial"/>
                <w:sz w:val="20"/>
                <w:szCs w:val="20"/>
              </w:rPr>
            </w:pPr>
            <w:r w:rsidRPr="000C5539">
              <w:rPr>
                <w:rFonts w:ascii="Arial Narrow" w:eastAsia="Arial" w:hAnsi="Arial Narrow" w:cs="Arial"/>
                <w:sz w:val="20"/>
                <w:szCs w:val="20"/>
              </w:rPr>
              <w:t xml:space="preserve">El artículo 132 de la Ley 1448 de 2011, establece que corresponde al Gobierno Nacional regular los montos de </w:t>
            </w:r>
            <w:r w:rsidR="001E6806">
              <w:rPr>
                <w:rFonts w:ascii="Arial Narrow" w:eastAsia="Arial" w:hAnsi="Arial Narrow" w:cs="Arial"/>
                <w:sz w:val="20"/>
                <w:szCs w:val="20"/>
              </w:rPr>
              <w:t xml:space="preserve">la </w:t>
            </w:r>
            <w:r w:rsidRPr="000C5539">
              <w:rPr>
                <w:rFonts w:ascii="Arial Narrow" w:eastAsia="Arial" w:hAnsi="Arial Narrow" w:cs="Arial"/>
                <w:sz w:val="20"/>
                <w:szCs w:val="20"/>
              </w:rPr>
              <w:t>indemnización</w:t>
            </w:r>
            <w:r w:rsidR="001E6806">
              <w:rPr>
                <w:rFonts w:ascii="Arial Narrow" w:eastAsia="Arial" w:hAnsi="Arial Narrow" w:cs="Arial"/>
                <w:sz w:val="20"/>
                <w:szCs w:val="20"/>
              </w:rPr>
              <w:t xml:space="preserve"> por vía administrativa</w:t>
            </w:r>
            <w:r w:rsidRPr="000C5539">
              <w:rPr>
                <w:rFonts w:ascii="Arial Narrow" w:eastAsia="Arial" w:hAnsi="Arial Narrow" w:cs="Arial"/>
                <w:sz w:val="20"/>
                <w:szCs w:val="20"/>
              </w:rPr>
              <w:t xml:space="preserve">. Estos montos están establecidos en el </w:t>
            </w:r>
            <w:r w:rsidRPr="000C5539">
              <w:rPr>
                <w:rFonts w:ascii="Arial Narrow" w:eastAsia="Arial" w:hAnsi="Arial Narrow" w:cs="Arial"/>
                <w:sz w:val="20"/>
                <w:szCs w:val="20"/>
                <w:lang w:val="es-ES_tradnl"/>
              </w:rPr>
              <w:t xml:space="preserve">artículo 2.2.7.3.4 del Decreto 1084 de 2015, </w:t>
            </w:r>
            <w:r w:rsidR="00D21BE7">
              <w:rPr>
                <w:rFonts w:ascii="Arial Narrow" w:eastAsia="Arial" w:hAnsi="Arial Narrow" w:cs="Arial"/>
                <w:sz w:val="20"/>
                <w:szCs w:val="20"/>
                <w:lang w:val="es-ES_tradnl"/>
              </w:rPr>
              <w:t>que</w:t>
            </w:r>
            <w:r w:rsidRPr="000C5539">
              <w:rPr>
                <w:rFonts w:ascii="Arial Narrow" w:eastAsia="Arial" w:hAnsi="Arial Narrow" w:cs="Arial"/>
                <w:sz w:val="20"/>
                <w:szCs w:val="20"/>
                <w:lang w:val="es-ES_tradnl"/>
              </w:rPr>
              <w:t xml:space="preserve"> </w:t>
            </w:r>
            <w:r w:rsidR="001E6806">
              <w:rPr>
                <w:rFonts w:ascii="Arial Narrow" w:eastAsia="Arial" w:hAnsi="Arial Narrow" w:cs="Arial"/>
                <w:sz w:val="20"/>
                <w:szCs w:val="20"/>
              </w:rPr>
              <w:t>por</w:t>
            </w:r>
            <w:r w:rsidR="001E6806" w:rsidRPr="000C5539">
              <w:rPr>
                <w:rFonts w:ascii="Arial Narrow" w:eastAsia="Arial" w:hAnsi="Arial Narrow" w:cs="Arial"/>
                <w:sz w:val="20"/>
                <w:szCs w:val="20"/>
              </w:rPr>
              <w:t xml:space="preserve"> cada hecho </w:t>
            </w:r>
            <w:r w:rsidR="00D21BE7" w:rsidRPr="000C5539">
              <w:rPr>
                <w:rFonts w:ascii="Arial Narrow" w:eastAsia="Arial" w:hAnsi="Arial Narrow" w:cs="Arial"/>
                <w:sz w:val="20"/>
                <w:szCs w:val="20"/>
              </w:rPr>
              <w:t>victimizante</w:t>
            </w:r>
            <w:r w:rsidR="001E6806" w:rsidRPr="000C5539">
              <w:rPr>
                <w:rFonts w:ascii="Arial Narrow" w:eastAsia="Arial" w:hAnsi="Arial Narrow" w:cs="Arial"/>
                <w:sz w:val="20"/>
                <w:szCs w:val="20"/>
              </w:rPr>
              <w:t xml:space="preserve"> </w:t>
            </w:r>
            <w:r w:rsidR="00E36A8E">
              <w:rPr>
                <w:rFonts w:ascii="Arial Narrow" w:eastAsia="Arial" w:hAnsi="Arial Narrow" w:cs="Arial"/>
                <w:sz w:val="20"/>
                <w:szCs w:val="20"/>
              </w:rPr>
              <w:t xml:space="preserve">previsto allí, </w:t>
            </w:r>
            <w:r w:rsidR="00D21BE7">
              <w:rPr>
                <w:rFonts w:ascii="Arial Narrow" w:eastAsia="Arial" w:hAnsi="Arial Narrow" w:cs="Arial"/>
                <w:sz w:val="20"/>
                <w:szCs w:val="20"/>
                <w:lang w:val="es-ES_tradnl"/>
              </w:rPr>
              <w:t xml:space="preserve">se otorga </w:t>
            </w:r>
            <w:r w:rsidRPr="000C5539">
              <w:rPr>
                <w:rFonts w:ascii="Arial Narrow" w:eastAsia="Arial" w:hAnsi="Arial Narrow" w:cs="Arial"/>
                <w:sz w:val="20"/>
                <w:szCs w:val="20"/>
                <w:lang w:val="es-ES_tradnl"/>
              </w:rPr>
              <w:t xml:space="preserve">“hasta” </w:t>
            </w:r>
            <w:r w:rsidR="001E6806">
              <w:rPr>
                <w:rFonts w:ascii="Arial Narrow" w:eastAsia="Arial" w:hAnsi="Arial Narrow" w:cs="Arial"/>
                <w:sz w:val="20"/>
                <w:szCs w:val="20"/>
                <w:lang w:val="es-ES_tradnl"/>
              </w:rPr>
              <w:t xml:space="preserve">un </w:t>
            </w:r>
            <w:r w:rsidRPr="000C5539">
              <w:rPr>
                <w:rFonts w:ascii="Arial Narrow" w:eastAsia="Arial" w:hAnsi="Arial Narrow" w:cs="Arial"/>
                <w:sz w:val="20"/>
                <w:szCs w:val="20"/>
                <w:lang w:val="es-ES_tradnl"/>
              </w:rPr>
              <w:t xml:space="preserve">determinado </w:t>
            </w:r>
            <w:r w:rsidR="001E6806">
              <w:rPr>
                <w:rFonts w:ascii="Arial Narrow" w:eastAsia="Arial" w:hAnsi="Arial Narrow" w:cs="Arial"/>
                <w:sz w:val="20"/>
                <w:szCs w:val="20"/>
                <w:lang w:val="es-ES_tradnl"/>
              </w:rPr>
              <w:t xml:space="preserve">valor </w:t>
            </w:r>
            <w:r w:rsidR="00E36A8E">
              <w:rPr>
                <w:rFonts w:ascii="Arial Narrow" w:eastAsia="Arial" w:hAnsi="Arial Narrow" w:cs="Arial"/>
                <w:sz w:val="20"/>
                <w:szCs w:val="20"/>
                <w:lang w:val="es-ES_tradnl"/>
              </w:rPr>
              <w:t xml:space="preserve">tasado </w:t>
            </w:r>
            <w:r w:rsidR="001E6806">
              <w:rPr>
                <w:rFonts w:ascii="Arial Narrow" w:eastAsia="Arial" w:hAnsi="Arial Narrow" w:cs="Arial"/>
                <w:sz w:val="20"/>
                <w:szCs w:val="20"/>
                <w:lang w:val="es-ES_tradnl"/>
              </w:rPr>
              <w:t>en</w:t>
            </w:r>
            <w:r w:rsidRPr="000C5539">
              <w:rPr>
                <w:rFonts w:ascii="Arial Narrow" w:eastAsia="Arial" w:hAnsi="Arial Narrow" w:cs="Arial"/>
                <w:sz w:val="20"/>
                <w:szCs w:val="20"/>
                <w:lang w:val="es-ES_tradnl"/>
              </w:rPr>
              <w:t xml:space="preserve"> SMLMV</w:t>
            </w:r>
            <w:r w:rsidRPr="000C5539">
              <w:rPr>
                <w:rFonts w:ascii="Arial Narrow" w:eastAsia="Arial" w:hAnsi="Arial Narrow" w:cs="Arial"/>
                <w:sz w:val="20"/>
                <w:szCs w:val="20"/>
              </w:rPr>
              <w:t>, sin que ello signifique</w:t>
            </w:r>
            <w:r w:rsidR="001E6806">
              <w:rPr>
                <w:rFonts w:ascii="Arial Narrow" w:eastAsia="Arial" w:hAnsi="Arial Narrow" w:cs="Arial"/>
                <w:sz w:val="20"/>
                <w:szCs w:val="20"/>
              </w:rPr>
              <w:t>,</w:t>
            </w:r>
            <w:r w:rsidRPr="000C5539">
              <w:rPr>
                <w:rFonts w:ascii="Arial Narrow" w:eastAsia="Arial" w:hAnsi="Arial Narrow" w:cs="Arial"/>
                <w:sz w:val="20"/>
                <w:szCs w:val="20"/>
              </w:rPr>
              <w:t xml:space="preserve"> necesariamente</w:t>
            </w:r>
            <w:r w:rsidR="001E6806">
              <w:rPr>
                <w:rFonts w:ascii="Arial Narrow" w:eastAsia="Arial" w:hAnsi="Arial Narrow" w:cs="Arial"/>
                <w:sz w:val="20"/>
                <w:szCs w:val="20"/>
              </w:rPr>
              <w:t>, que</w:t>
            </w:r>
            <w:r w:rsidRPr="000C5539">
              <w:rPr>
                <w:rFonts w:ascii="Arial Narrow" w:eastAsia="Arial" w:hAnsi="Arial Narrow" w:cs="Arial"/>
                <w:sz w:val="20"/>
                <w:szCs w:val="20"/>
              </w:rPr>
              <w:t xml:space="preserve"> en todos los casos deba entregarse a la víctima </w:t>
            </w:r>
            <w:r w:rsidR="001E6806">
              <w:rPr>
                <w:rFonts w:ascii="Arial Narrow" w:eastAsia="Arial" w:hAnsi="Arial Narrow" w:cs="Arial"/>
                <w:sz w:val="20"/>
                <w:szCs w:val="20"/>
              </w:rPr>
              <w:t>el tope máximo</w:t>
            </w:r>
            <w:r w:rsidRPr="000C5539">
              <w:rPr>
                <w:rFonts w:ascii="Arial Narrow" w:eastAsia="Arial" w:hAnsi="Arial Narrow" w:cs="Arial"/>
                <w:sz w:val="20"/>
                <w:szCs w:val="20"/>
              </w:rPr>
              <w:t>. A part</w:t>
            </w:r>
            <w:r w:rsidR="001E6806">
              <w:rPr>
                <w:rFonts w:ascii="Arial Narrow" w:eastAsia="Arial" w:hAnsi="Arial Narrow" w:cs="Arial"/>
                <w:sz w:val="20"/>
                <w:szCs w:val="20"/>
              </w:rPr>
              <w:t>ir de lo anterior, el presente D</w:t>
            </w:r>
            <w:r w:rsidRPr="000C5539">
              <w:rPr>
                <w:rFonts w:ascii="Arial Narrow" w:eastAsia="Arial" w:hAnsi="Arial Narrow" w:cs="Arial"/>
                <w:sz w:val="20"/>
                <w:szCs w:val="20"/>
              </w:rPr>
              <w:t>ecreto propone determinar</w:t>
            </w:r>
            <w:r w:rsidR="003824D5">
              <w:rPr>
                <w:rFonts w:ascii="Arial Narrow" w:eastAsia="Arial" w:hAnsi="Arial Narrow" w:cs="Arial"/>
                <w:sz w:val="20"/>
                <w:szCs w:val="20"/>
              </w:rPr>
              <w:t xml:space="preserve"> límites en el valor a reconocer por concepto de </w:t>
            </w:r>
            <w:r w:rsidRPr="000C5539">
              <w:rPr>
                <w:rFonts w:ascii="Arial Narrow" w:eastAsia="Arial" w:hAnsi="Arial Narrow" w:cs="Arial"/>
                <w:sz w:val="20"/>
                <w:szCs w:val="20"/>
              </w:rPr>
              <w:t>indemnización de acuerdo con el hecho victimizante, estableciendo en algunos casos</w:t>
            </w:r>
            <w:r w:rsidR="003824D5">
              <w:rPr>
                <w:rFonts w:ascii="Arial Narrow" w:eastAsia="Arial" w:hAnsi="Arial Narrow" w:cs="Arial"/>
                <w:sz w:val="20"/>
                <w:szCs w:val="20"/>
              </w:rPr>
              <w:t>,</w:t>
            </w:r>
            <w:r w:rsidRPr="000C5539">
              <w:rPr>
                <w:rFonts w:ascii="Arial Narrow" w:eastAsia="Arial" w:hAnsi="Arial Narrow" w:cs="Arial"/>
                <w:sz w:val="20"/>
                <w:szCs w:val="20"/>
              </w:rPr>
              <w:t xml:space="preserve"> mínimos y máximos </w:t>
            </w:r>
            <w:r w:rsidR="003824D5">
              <w:rPr>
                <w:rFonts w:ascii="Arial Narrow" w:eastAsia="Arial" w:hAnsi="Arial Narrow" w:cs="Arial"/>
                <w:sz w:val="20"/>
                <w:szCs w:val="20"/>
              </w:rPr>
              <w:t xml:space="preserve">dependiendo de </w:t>
            </w:r>
            <w:r w:rsidR="003824D5" w:rsidRPr="003824D5">
              <w:rPr>
                <w:rFonts w:ascii="Arial Narrow" w:eastAsia="Arial" w:hAnsi="Arial Narrow" w:cs="Arial"/>
                <w:sz w:val="20"/>
                <w:szCs w:val="20"/>
              </w:rPr>
              <w:t>la reglamentación establecida por la Unidad para las Víctimas para tal efecto</w:t>
            </w:r>
            <w:r w:rsidR="003824D5">
              <w:rPr>
                <w:rFonts w:ascii="Arial Narrow" w:eastAsia="Arial" w:hAnsi="Arial Narrow" w:cs="Arial"/>
                <w:sz w:val="20"/>
                <w:szCs w:val="20"/>
              </w:rPr>
              <w:t>,</w:t>
            </w:r>
            <w:r w:rsidR="003824D5" w:rsidRPr="003824D5">
              <w:rPr>
                <w:rFonts w:ascii="Arial Narrow" w:eastAsia="Arial" w:hAnsi="Arial Narrow" w:cs="Arial"/>
                <w:sz w:val="20"/>
                <w:szCs w:val="20"/>
              </w:rPr>
              <w:t xml:space="preserve"> </w:t>
            </w:r>
            <w:r w:rsidRPr="000C5539">
              <w:rPr>
                <w:rFonts w:ascii="Arial Narrow" w:eastAsia="Arial" w:hAnsi="Arial Narrow" w:cs="Arial"/>
                <w:sz w:val="20"/>
                <w:szCs w:val="20"/>
              </w:rPr>
              <w:t>y</w:t>
            </w:r>
            <w:r w:rsidR="003824D5">
              <w:rPr>
                <w:rFonts w:ascii="Arial Narrow" w:eastAsia="Arial" w:hAnsi="Arial Narrow" w:cs="Arial"/>
                <w:sz w:val="20"/>
                <w:szCs w:val="20"/>
              </w:rPr>
              <w:t>,</w:t>
            </w:r>
            <w:r w:rsidRPr="000C5539">
              <w:rPr>
                <w:rFonts w:ascii="Arial Narrow" w:eastAsia="Arial" w:hAnsi="Arial Narrow" w:cs="Arial"/>
                <w:sz w:val="20"/>
                <w:szCs w:val="20"/>
              </w:rPr>
              <w:t xml:space="preserve"> modificando la distribución para el hecho </w:t>
            </w:r>
            <w:r w:rsidR="003824D5">
              <w:rPr>
                <w:rFonts w:ascii="Arial Narrow" w:eastAsia="Arial" w:hAnsi="Arial Narrow" w:cs="Arial"/>
                <w:sz w:val="20"/>
                <w:szCs w:val="20"/>
              </w:rPr>
              <w:t xml:space="preserve">victimizante </w:t>
            </w:r>
            <w:r w:rsidRPr="000C5539">
              <w:rPr>
                <w:rFonts w:ascii="Arial Narrow" w:eastAsia="Arial" w:hAnsi="Arial Narrow" w:cs="Arial"/>
                <w:sz w:val="20"/>
                <w:szCs w:val="20"/>
              </w:rPr>
              <w:t>de desplazamiento</w:t>
            </w:r>
            <w:r w:rsidR="003824D5">
              <w:rPr>
                <w:rFonts w:ascii="Arial Narrow" w:eastAsia="Arial" w:hAnsi="Arial Narrow" w:cs="Arial"/>
                <w:sz w:val="20"/>
                <w:szCs w:val="20"/>
              </w:rPr>
              <w:t xml:space="preserve"> forzado interno</w:t>
            </w:r>
            <w:r w:rsidRPr="000C5539">
              <w:rPr>
                <w:rFonts w:ascii="Arial Narrow" w:eastAsia="Arial" w:hAnsi="Arial Narrow" w:cs="Arial"/>
                <w:sz w:val="20"/>
                <w:szCs w:val="20"/>
              </w:rPr>
              <w:t xml:space="preserve">. </w:t>
            </w:r>
          </w:p>
          <w:p w14:paraId="40D66BA5" w14:textId="77777777" w:rsidR="000C5539" w:rsidRPr="000C5539" w:rsidRDefault="000C5539" w:rsidP="00BA0D2B">
            <w:pPr>
              <w:jc w:val="both"/>
              <w:rPr>
                <w:rFonts w:ascii="Arial Narrow" w:eastAsia="Arial" w:hAnsi="Arial Narrow" w:cs="Arial"/>
                <w:sz w:val="20"/>
                <w:szCs w:val="20"/>
              </w:rPr>
            </w:pPr>
          </w:p>
          <w:p w14:paraId="7CEC697C" w14:textId="77777777" w:rsidR="000C5539" w:rsidRPr="000C5539" w:rsidRDefault="00BC1F2D" w:rsidP="00BA0D2B">
            <w:pPr>
              <w:jc w:val="both"/>
              <w:rPr>
                <w:rFonts w:ascii="Arial Narrow" w:eastAsia="Arial" w:hAnsi="Arial Narrow" w:cs="Arial"/>
                <w:sz w:val="20"/>
                <w:szCs w:val="20"/>
              </w:rPr>
            </w:pPr>
            <w:r>
              <w:rPr>
                <w:rFonts w:ascii="Arial Narrow" w:eastAsia="Arial" w:hAnsi="Arial Narrow" w:cs="Arial"/>
                <w:sz w:val="20"/>
                <w:szCs w:val="20"/>
              </w:rPr>
              <w:t>La propuesta de modulación reconoce</w:t>
            </w:r>
            <w:r w:rsidR="000C5539" w:rsidRPr="000C5539">
              <w:rPr>
                <w:rFonts w:ascii="Arial Narrow" w:eastAsia="Arial" w:hAnsi="Arial Narrow" w:cs="Arial"/>
                <w:sz w:val="20"/>
                <w:szCs w:val="20"/>
              </w:rPr>
              <w:t xml:space="preserve"> el principio de progresividad de los derechos, </w:t>
            </w:r>
            <w:r>
              <w:rPr>
                <w:rFonts w:ascii="Arial Narrow" w:eastAsia="Arial" w:hAnsi="Arial Narrow" w:cs="Arial"/>
                <w:sz w:val="20"/>
                <w:szCs w:val="20"/>
              </w:rPr>
              <w:t xml:space="preserve">dado que el </w:t>
            </w:r>
            <w:r w:rsidR="00E36A8E">
              <w:rPr>
                <w:rFonts w:ascii="Arial Narrow" w:eastAsia="Arial" w:hAnsi="Arial Narrow" w:cs="Arial"/>
                <w:sz w:val="20"/>
                <w:szCs w:val="20"/>
              </w:rPr>
              <w:t>decreto</w:t>
            </w:r>
            <w:r>
              <w:rPr>
                <w:rFonts w:ascii="Arial Narrow" w:eastAsia="Arial" w:hAnsi="Arial Narrow" w:cs="Arial"/>
                <w:sz w:val="20"/>
                <w:szCs w:val="20"/>
              </w:rPr>
              <w:t xml:space="preserve"> </w:t>
            </w:r>
            <w:r w:rsidR="00E36A8E">
              <w:rPr>
                <w:rFonts w:ascii="Arial Narrow" w:eastAsia="Arial" w:hAnsi="Arial Narrow" w:cs="Arial"/>
                <w:sz w:val="20"/>
                <w:szCs w:val="20"/>
              </w:rPr>
              <w:t>tiene la potencialidad de maximizar la cobertura prevista, ceñido</w:t>
            </w:r>
            <w:r>
              <w:rPr>
                <w:rFonts w:ascii="Arial Narrow" w:eastAsia="Arial" w:hAnsi="Arial Narrow" w:cs="Arial"/>
                <w:sz w:val="20"/>
                <w:szCs w:val="20"/>
              </w:rPr>
              <w:t xml:space="preserve"> a</w:t>
            </w:r>
            <w:r w:rsidR="000C5539" w:rsidRPr="000C5539">
              <w:rPr>
                <w:rFonts w:ascii="Arial Narrow" w:eastAsia="Arial" w:hAnsi="Arial Narrow" w:cs="Arial"/>
                <w:sz w:val="20"/>
                <w:szCs w:val="20"/>
              </w:rPr>
              <w:t xml:space="preserve"> autorización legal expresa y </w:t>
            </w:r>
            <w:r>
              <w:rPr>
                <w:rFonts w:ascii="Arial Narrow" w:eastAsia="Arial" w:hAnsi="Arial Narrow" w:cs="Arial"/>
                <w:sz w:val="20"/>
                <w:szCs w:val="20"/>
              </w:rPr>
              <w:t xml:space="preserve">a </w:t>
            </w:r>
            <w:r w:rsidR="000C5539" w:rsidRPr="000C5539">
              <w:rPr>
                <w:rFonts w:ascii="Arial Narrow" w:eastAsia="Arial" w:hAnsi="Arial Narrow" w:cs="Arial"/>
                <w:sz w:val="20"/>
                <w:szCs w:val="20"/>
              </w:rPr>
              <w:t>una realidad</w:t>
            </w:r>
            <w:r>
              <w:rPr>
                <w:rFonts w:ascii="Arial Narrow" w:eastAsia="Arial" w:hAnsi="Arial Narrow" w:cs="Arial"/>
                <w:sz w:val="20"/>
                <w:szCs w:val="20"/>
              </w:rPr>
              <w:t xml:space="preserve"> presupuestal </w:t>
            </w:r>
            <w:r w:rsidR="000C5539" w:rsidRPr="000C5539">
              <w:rPr>
                <w:rFonts w:ascii="Arial Narrow" w:eastAsia="Arial" w:hAnsi="Arial Narrow" w:cs="Arial"/>
                <w:sz w:val="20"/>
                <w:szCs w:val="20"/>
              </w:rPr>
              <w:t xml:space="preserve">que </w:t>
            </w:r>
            <w:r>
              <w:rPr>
                <w:rFonts w:ascii="Arial Narrow" w:eastAsia="Arial" w:hAnsi="Arial Narrow" w:cs="Arial"/>
                <w:sz w:val="20"/>
                <w:szCs w:val="20"/>
              </w:rPr>
              <w:t xml:space="preserve">limita </w:t>
            </w:r>
            <w:r w:rsidR="000C5539" w:rsidRPr="000C5539">
              <w:rPr>
                <w:rFonts w:ascii="Arial Narrow" w:eastAsia="Arial" w:hAnsi="Arial Narrow" w:cs="Arial"/>
                <w:sz w:val="20"/>
                <w:szCs w:val="20"/>
              </w:rPr>
              <w:t>a la Unidad para las Víctimas</w:t>
            </w:r>
            <w:r>
              <w:rPr>
                <w:rFonts w:ascii="Arial Narrow" w:eastAsia="Arial" w:hAnsi="Arial Narrow" w:cs="Arial"/>
                <w:sz w:val="20"/>
                <w:szCs w:val="20"/>
              </w:rPr>
              <w:t xml:space="preserve"> para continuar reconociendo los montos</w:t>
            </w:r>
            <w:r w:rsidR="000C5539" w:rsidRPr="000C5539">
              <w:rPr>
                <w:rFonts w:ascii="Arial Narrow" w:eastAsia="Arial" w:hAnsi="Arial Narrow" w:cs="Arial"/>
                <w:sz w:val="20"/>
                <w:szCs w:val="20"/>
              </w:rPr>
              <w:t xml:space="preserve"> máximo</w:t>
            </w:r>
            <w:r>
              <w:rPr>
                <w:rFonts w:ascii="Arial Narrow" w:eastAsia="Arial" w:hAnsi="Arial Narrow" w:cs="Arial"/>
                <w:sz w:val="20"/>
                <w:szCs w:val="20"/>
              </w:rPr>
              <w:t>s</w:t>
            </w:r>
            <w:r w:rsidR="000C5539" w:rsidRPr="000C5539">
              <w:rPr>
                <w:rFonts w:ascii="Arial Narrow" w:eastAsia="Arial" w:hAnsi="Arial Narrow" w:cs="Arial"/>
                <w:sz w:val="20"/>
                <w:szCs w:val="20"/>
              </w:rPr>
              <w:t xml:space="preserve"> </w:t>
            </w:r>
            <w:r>
              <w:rPr>
                <w:rFonts w:ascii="Arial Narrow" w:eastAsia="Arial" w:hAnsi="Arial Narrow" w:cs="Arial"/>
                <w:sz w:val="20"/>
                <w:szCs w:val="20"/>
              </w:rPr>
              <w:t xml:space="preserve">que se prevén en el articulo </w:t>
            </w:r>
            <w:r w:rsidRPr="000C5539">
              <w:rPr>
                <w:rFonts w:ascii="Arial Narrow" w:eastAsia="Arial" w:hAnsi="Arial Narrow" w:cs="Arial"/>
                <w:sz w:val="20"/>
                <w:szCs w:val="20"/>
                <w:lang w:val="es-ES_tradnl"/>
              </w:rPr>
              <w:t>2.2.7.3.4 del Decreto 1084 de 2015</w:t>
            </w:r>
            <w:r w:rsidR="000C5539" w:rsidRPr="000C5539">
              <w:rPr>
                <w:rFonts w:ascii="Arial Narrow" w:eastAsia="Arial" w:hAnsi="Arial Narrow" w:cs="Arial"/>
                <w:sz w:val="20"/>
                <w:szCs w:val="20"/>
              </w:rPr>
              <w:t xml:space="preserve">. </w:t>
            </w:r>
          </w:p>
          <w:p w14:paraId="1497C45E" w14:textId="77777777" w:rsidR="000C5539" w:rsidRPr="000C5539" w:rsidRDefault="000C5539" w:rsidP="00BA0D2B">
            <w:pPr>
              <w:jc w:val="both"/>
              <w:rPr>
                <w:rFonts w:ascii="Arial Narrow" w:eastAsia="Arial" w:hAnsi="Arial Narrow" w:cs="Arial"/>
                <w:sz w:val="20"/>
                <w:szCs w:val="20"/>
              </w:rPr>
            </w:pPr>
          </w:p>
          <w:p w14:paraId="1D55099D" w14:textId="77777777" w:rsidR="000C5539" w:rsidRDefault="00530F97" w:rsidP="00BA0D2B">
            <w:pPr>
              <w:jc w:val="both"/>
              <w:rPr>
                <w:rFonts w:ascii="Arial Narrow" w:eastAsia="Arial" w:hAnsi="Arial Narrow" w:cs="Arial"/>
                <w:sz w:val="20"/>
                <w:szCs w:val="20"/>
                <w:lang w:val="es-ES_tradnl"/>
              </w:rPr>
            </w:pPr>
            <w:r>
              <w:rPr>
                <w:rFonts w:ascii="Arial Narrow" w:eastAsia="Arial" w:hAnsi="Arial Narrow" w:cs="Arial"/>
                <w:sz w:val="20"/>
                <w:szCs w:val="20"/>
                <w:lang w:val="es-ES_tradnl"/>
              </w:rPr>
              <w:t>L</w:t>
            </w:r>
            <w:r w:rsidR="000C5539" w:rsidRPr="000C5539">
              <w:rPr>
                <w:rFonts w:ascii="Arial Narrow" w:eastAsia="Arial" w:hAnsi="Arial Narrow" w:cs="Arial"/>
                <w:sz w:val="20"/>
                <w:szCs w:val="20"/>
                <w:lang w:val="es-ES_tradnl"/>
              </w:rPr>
              <w:t xml:space="preserve">a Corte Constitucional, en senda jurisprudencia, ha señalado la posibilidad de modificar el mandato de progresividad en el ámbito de derechos sociales, económicos y culturales, que guarden conexidad con derechos fundamentales, en aquellos eventos en que el Estado enfrente dificultades que hagan imposible el mantenimiento del grado de protección alcanzado, tal y como se advierte en las </w:t>
            </w:r>
            <w:r w:rsidR="000C5539" w:rsidRPr="000C5539">
              <w:rPr>
                <w:rFonts w:ascii="Arial Narrow" w:eastAsia="Arial" w:hAnsi="Arial Narrow" w:cs="Arial"/>
                <w:sz w:val="20"/>
                <w:szCs w:val="20"/>
                <w:lang w:val="es-ES_tradnl"/>
              </w:rPr>
              <w:lastRenderedPageBreak/>
              <w:t xml:space="preserve">sentencias C-251 de 1997, SU-624 de 1999, C-1165 de 2000, C-1789 de 2000, C-671 de 2002, C-038 de 2004, T-428 de 2012, entre otras. </w:t>
            </w:r>
          </w:p>
          <w:p w14:paraId="625EA01A" w14:textId="77777777" w:rsidR="00DB6743" w:rsidRDefault="00DB6743" w:rsidP="00BA0D2B">
            <w:pPr>
              <w:jc w:val="both"/>
              <w:rPr>
                <w:rFonts w:ascii="Arial Narrow" w:eastAsia="Arial" w:hAnsi="Arial Narrow" w:cs="Arial"/>
                <w:sz w:val="20"/>
                <w:szCs w:val="20"/>
                <w:lang w:val="es-ES_tradnl"/>
              </w:rPr>
            </w:pPr>
          </w:p>
          <w:p w14:paraId="6330FE01" w14:textId="77777777" w:rsidR="00DB6743" w:rsidRPr="00DB6743" w:rsidRDefault="00DB6743" w:rsidP="00BA0D2B">
            <w:pPr>
              <w:jc w:val="both"/>
              <w:rPr>
                <w:rFonts w:ascii="Arial Narrow" w:eastAsia="Arial" w:hAnsi="Arial Narrow" w:cs="Arial"/>
                <w:sz w:val="20"/>
                <w:szCs w:val="20"/>
                <w:lang w:val="es-CO"/>
              </w:rPr>
            </w:pPr>
            <w:r w:rsidRPr="00DB6743">
              <w:rPr>
                <w:rFonts w:ascii="Arial Narrow" w:eastAsia="Arial" w:hAnsi="Arial Narrow" w:cs="Arial"/>
                <w:sz w:val="20"/>
                <w:szCs w:val="20"/>
                <w:lang w:val="es-CO"/>
              </w:rPr>
              <w:t xml:space="preserve">En lo que a la distribución de la indemnización por desplazamiento forzado se refiere, hoy se tiene que los montos de indemnización, esto es, 17 o 27 SMMLV, según el régimen aplicable al caso, se paguen siempre por el tope de la medida que se divide entre las personas que integran el núcleo familiar. De esta manera, se ha evidenciado, que se generan amplias brechas en la sumas recibidas por miembros de hogares unipersonales, frente aquellos que son cuantiosos, lo que se traduce en que actualmente se ofrezca a las víctimas un tratamiento que pudiera interpretarse inequitativo.  </w:t>
            </w:r>
          </w:p>
          <w:p w14:paraId="698D502A" w14:textId="77777777" w:rsidR="00DB6743" w:rsidRDefault="00DB6743" w:rsidP="00BA0D2B">
            <w:pPr>
              <w:jc w:val="both"/>
              <w:rPr>
                <w:rFonts w:ascii="Arial Narrow" w:eastAsia="Arial" w:hAnsi="Arial Narrow" w:cs="Arial"/>
                <w:sz w:val="20"/>
                <w:szCs w:val="20"/>
                <w:lang w:val="es-ES_tradnl"/>
              </w:rPr>
            </w:pPr>
          </w:p>
          <w:p w14:paraId="6D49595C" w14:textId="77777777" w:rsidR="002A19D4" w:rsidRPr="002A19D4" w:rsidRDefault="002A19D4" w:rsidP="002A19D4">
            <w:pPr>
              <w:jc w:val="both"/>
              <w:rPr>
                <w:rFonts w:ascii="Arial Narrow" w:eastAsia="Arial" w:hAnsi="Arial Narrow" w:cs="Arial"/>
                <w:sz w:val="20"/>
                <w:szCs w:val="20"/>
                <w:lang w:val="es-CO"/>
              </w:rPr>
            </w:pPr>
            <w:r>
              <w:rPr>
                <w:rFonts w:ascii="Arial Narrow" w:eastAsia="Arial" w:hAnsi="Arial Narrow" w:cs="Arial"/>
                <w:sz w:val="20"/>
                <w:szCs w:val="20"/>
                <w:lang w:val="es-CO"/>
              </w:rPr>
              <w:t xml:space="preserve">En ese sentido, </w:t>
            </w:r>
            <w:r w:rsidRPr="002A19D4">
              <w:rPr>
                <w:rFonts w:ascii="Arial Narrow" w:eastAsia="Arial" w:hAnsi="Arial Narrow" w:cs="Arial"/>
                <w:sz w:val="20"/>
                <w:szCs w:val="20"/>
                <w:lang w:val="es-CO"/>
              </w:rPr>
              <w:t xml:space="preserve">la propuesta moduladora se orienta en el establecimiento de un monto fijo de 3.4 o 5.4 SMMLV, dependiendo del régimen aplicable, respecto de los hogares con un número de integrantes inferior a 5. De manera que con esto se garantice que la medida se entregue de forma equitativa y uniforme a los hogares desplazados que cuentan con las características descritas.   </w:t>
            </w:r>
          </w:p>
          <w:p w14:paraId="31F61329" w14:textId="77777777" w:rsidR="002A19D4" w:rsidRPr="002A19D4" w:rsidRDefault="002A19D4" w:rsidP="00BA0D2B">
            <w:pPr>
              <w:jc w:val="both"/>
              <w:rPr>
                <w:rFonts w:ascii="Arial Narrow" w:eastAsia="Arial" w:hAnsi="Arial Narrow" w:cs="Arial"/>
                <w:sz w:val="20"/>
                <w:szCs w:val="20"/>
              </w:rPr>
            </w:pPr>
          </w:p>
          <w:p w14:paraId="4849E5BC" w14:textId="77777777" w:rsidR="000C5539" w:rsidRDefault="000C5539" w:rsidP="00BA0D2B">
            <w:pPr>
              <w:jc w:val="both"/>
              <w:rPr>
                <w:rFonts w:ascii="Arial Narrow" w:eastAsia="Arial" w:hAnsi="Arial Narrow" w:cs="Arial"/>
                <w:sz w:val="20"/>
                <w:szCs w:val="20"/>
              </w:rPr>
            </w:pPr>
            <w:r w:rsidRPr="000C5539">
              <w:rPr>
                <w:rFonts w:ascii="Arial Narrow" w:eastAsia="Arial" w:hAnsi="Arial Narrow" w:cs="Arial"/>
                <w:sz w:val="20"/>
                <w:szCs w:val="20"/>
              </w:rPr>
              <w:t xml:space="preserve">Además, el pago de la indemnización en salarios mínimos mensuales legales vigentes al momento de la expedición del decreto y actualizados según la variación anual del IPC, certificado por el DANE, permitirá que en cualquier año que se entreguen los montos a las víctimas puedan mantener el poder adquisitivo del dinero entregado. </w:t>
            </w:r>
          </w:p>
          <w:p w14:paraId="55FF2EF8" w14:textId="77777777" w:rsidR="003B5110" w:rsidRDefault="003B5110" w:rsidP="00BA0D2B">
            <w:pPr>
              <w:jc w:val="both"/>
              <w:rPr>
                <w:rFonts w:ascii="Arial Narrow" w:eastAsia="Arial" w:hAnsi="Arial Narrow" w:cs="Arial"/>
                <w:sz w:val="20"/>
                <w:szCs w:val="20"/>
              </w:rPr>
            </w:pPr>
          </w:p>
          <w:p w14:paraId="39B9B97C" w14:textId="77777777" w:rsidR="003B5110" w:rsidRPr="003B5110" w:rsidRDefault="003B5110" w:rsidP="003B5110">
            <w:pPr>
              <w:jc w:val="both"/>
              <w:rPr>
                <w:rFonts w:ascii="Arial Narrow" w:eastAsia="Arial" w:hAnsi="Arial Narrow" w:cs="Arial"/>
                <w:sz w:val="20"/>
                <w:szCs w:val="20"/>
                <w:lang w:val="es-ES_tradnl"/>
              </w:rPr>
            </w:pPr>
            <w:r w:rsidRPr="003B5110">
              <w:rPr>
                <w:rFonts w:ascii="Arial Narrow" w:eastAsia="Arial" w:hAnsi="Arial Narrow" w:cs="Arial"/>
                <w:sz w:val="20"/>
                <w:szCs w:val="20"/>
                <w:lang w:val="es-ES_tradnl"/>
              </w:rPr>
              <w:t>Que, apelando al espíritu de la ley 1448, es dado argumentar que el recurso público que se emplea en la indemnización, tiene una finalidad reparadora, restauradora y transformadora, por lo que corresponde</w:t>
            </w:r>
            <w:r>
              <w:rPr>
                <w:rFonts w:ascii="Arial Narrow" w:eastAsia="Arial" w:hAnsi="Arial Narrow" w:cs="Arial"/>
                <w:sz w:val="20"/>
                <w:szCs w:val="20"/>
                <w:lang w:val="es-ES_tradnl"/>
              </w:rPr>
              <w:t xml:space="preserve"> a través del presente Decreto </w:t>
            </w:r>
            <w:r w:rsidRPr="003B5110">
              <w:rPr>
                <w:rFonts w:ascii="Arial Narrow" w:eastAsia="Arial" w:hAnsi="Arial Narrow" w:cs="Arial"/>
                <w:sz w:val="20"/>
                <w:szCs w:val="20"/>
                <w:lang w:val="es-ES_tradnl"/>
              </w:rPr>
              <w:t>garantizar que la indemnización se haga exclusivamente a personas que ostentan la calidad de víctimas.</w:t>
            </w:r>
            <w:r>
              <w:rPr>
                <w:rFonts w:ascii="Arial Narrow" w:eastAsia="Arial" w:hAnsi="Arial Narrow" w:cs="Arial"/>
                <w:sz w:val="20"/>
                <w:szCs w:val="20"/>
                <w:lang w:val="es-ES_tradnl"/>
              </w:rPr>
              <w:t xml:space="preserve"> En atención a lo anterior, </w:t>
            </w:r>
            <w:r w:rsidRPr="003B5110">
              <w:rPr>
                <w:rFonts w:ascii="Arial Narrow" w:eastAsia="Arial" w:hAnsi="Arial Narrow" w:cs="Arial"/>
                <w:sz w:val="20"/>
                <w:szCs w:val="20"/>
                <w:lang w:val="es-ES_tradnl"/>
              </w:rPr>
              <w:t>resulta necesario reglamentar aspectos del procedimiento para reconocer y otorgar la indemnización por vía administrativa, así como el del desembolso de la misma y la actualización de los montos de indemnización.</w:t>
            </w:r>
          </w:p>
          <w:p w14:paraId="250D9846" w14:textId="77777777" w:rsidR="003B5110" w:rsidRPr="003B5110" w:rsidRDefault="003B5110" w:rsidP="00BA0D2B">
            <w:pPr>
              <w:jc w:val="both"/>
              <w:rPr>
                <w:rFonts w:ascii="Arial Narrow" w:eastAsia="Arial" w:hAnsi="Arial Narrow" w:cs="Arial"/>
                <w:sz w:val="20"/>
                <w:szCs w:val="20"/>
                <w:lang w:val="es-ES_tradnl"/>
              </w:rPr>
            </w:pPr>
          </w:p>
          <w:p w14:paraId="1597812F" w14:textId="77777777" w:rsidR="002A19D4" w:rsidRDefault="002A19D4" w:rsidP="002A19D4">
            <w:pPr>
              <w:jc w:val="both"/>
              <w:rPr>
                <w:rFonts w:ascii="Arial Narrow" w:eastAsia="Arial" w:hAnsi="Arial Narrow" w:cs="Arial"/>
                <w:sz w:val="20"/>
                <w:szCs w:val="20"/>
                <w:lang w:val="es-CO"/>
              </w:rPr>
            </w:pPr>
            <w:r w:rsidRPr="002A19D4">
              <w:rPr>
                <w:rFonts w:ascii="Arial Narrow" w:eastAsia="Arial" w:hAnsi="Arial Narrow" w:cs="Arial"/>
                <w:sz w:val="20"/>
                <w:szCs w:val="20"/>
                <w:lang w:val="es-CO"/>
              </w:rPr>
              <w:t xml:space="preserve">Es importante recordar que con la expedición de Ley de Víctimas y Restitución de Tierras el Estado Colombiano reconoció la existencia del conflicto armado en el territorio nacional y las consecuencias que este ha tenido para la población más vulnerable del país. En este sentido, el Gobierno Nacional se comprometió con la reparación de las víctimas y, por ello, desde entonces se empeñó en el logro de la implementación de la política de atención, asistencia y reparación integral a las víctimas, inclusive invirtiendo importantes cantidades de recursos públicos para tal fin. No obstante ello, el reto de la política de Atención, Asistencia y Reparación sigue siendo enorme, y una de las principales preocupaciones es cumplir con las expectativas de las víctimas, para lo cual es necesario tomar medidas que permitan brindar una mayor equidad y cobertura. </w:t>
            </w:r>
          </w:p>
          <w:p w14:paraId="7043B40D" w14:textId="77777777" w:rsidR="002A19D4" w:rsidRPr="002A19D4" w:rsidRDefault="002A19D4" w:rsidP="002A19D4">
            <w:pPr>
              <w:jc w:val="both"/>
              <w:rPr>
                <w:rFonts w:ascii="Arial Narrow" w:eastAsia="Arial" w:hAnsi="Arial Narrow" w:cs="Arial"/>
                <w:sz w:val="20"/>
                <w:szCs w:val="20"/>
                <w:lang w:val="es-CO"/>
              </w:rPr>
            </w:pPr>
          </w:p>
          <w:p w14:paraId="705F379A" w14:textId="77777777" w:rsidR="002A19D4" w:rsidRDefault="002A19D4" w:rsidP="002A19D4">
            <w:pPr>
              <w:jc w:val="both"/>
              <w:rPr>
                <w:rFonts w:ascii="Arial Narrow" w:eastAsia="Arial" w:hAnsi="Arial Narrow" w:cs="Arial"/>
                <w:sz w:val="20"/>
                <w:szCs w:val="20"/>
                <w:lang w:val="es-CO"/>
              </w:rPr>
            </w:pPr>
            <w:r w:rsidRPr="002A19D4">
              <w:rPr>
                <w:rFonts w:ascii="Arial Narrow" w:eastAsia="Arial" w:hAnsi="Arial Narrow" w:cs="Arial"/>
                <w:sz w:val="20"/>
                <w:szCs w:val="20"/>
                <w:lang w:val="es-CO"/>
              </w:rPr>
              <w:t>Por último, es pertinente señalar que aún resta por entregar la indemnización administrativa a la mayoría de las víctimas del conflicto armado. Razón por la cual estos cambios son pertinentes en un momento en el que pueden empezar a producir efectos que impacten un conjunto mayor de población, en comparación al que hasta ahora ha recibido la indemnización, lo cual representa una mayor equidad a futuro para el universo amplio de víctimas.</w:t>
            </w:r>
          </w:p>
          <w:p w14:paraId="0FE509E8" w14:textId="77777777" w:rsidR="000C5539" w:rsidRPr="000C5539" w:rsidRDefault="000C5539" w:rsidP="00BA0D2B">
            <w:pPr>
              <w:jc w:val="both"/>
              <w:rPr>
                <w:rFonts w:ascii="Arial Narrow" w:hAnsi="Arial Narrow" w:cs="Arial"/>
                <w:sz w:val="20"/>
                <w:szCs w:val="20"/>
                <w:lang w:val="es-CO"/>
              </w:rPr>
            </w:pPr>
          </w:p>
        </w:tc>
      </w:tr>
      <w:tr w:rsidR="000C5539" w:rsidRPr="000C5539" w14:paraId="75357D01" w14:textId="77777777" w:rsidTr="00BA0D2B">
        <w:trPr>
          <w:trHeight w:val="1180"/>
        </w:trPr>
        <w:tc>
          <w:tcPr>
            <w:tcW w:w="2439" w:type="dxa"/>
            <w:shd w:val="clear" w:color="auto" w:fill="auto"/>
            <w:vAlign w:val="center"/>
          </w:tcPr>
          <w:p w14:paraId="50F86B3C"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lastRenderedPageBreak/>
              <w:t>4. Impacto económico si fuere el caso, el cual deberá señalar el costo o ahorro, de la implementación del respectivo acto.</w:t>
            </w:r>
          </w:p>
        </w:tc>
        <w:tc>
          <w:tcPr>
            <w:tcW w:w="7484" w:type="dxa"/>
            <w:vAlign w:val="center"/>
          </w:tcPr>
          <w:p w14:paraId="43D704FD" w14:textId="13E2829C" w:rsidR="00BF204C" w:rsidRPr="00C602F6" w:rsidRDefault="00BF204C" w:rsidP="00BF204C">
            <w:pPr>
              <w:tabs>
                <w:tab w:val="num" w:pos="720"/>
              </w:tabs>
              <w:jc w:val="both"/>
              <w:rPr>
                <w:rFonts w:ascii="Arial Narrow" w:hAnsi="Arial Narrow" w:cs="Arial"/>
                <w:sz w:val="20"/>
                <w:szCs w:val="20"/>
              </w:rPr>
            </w:pPr>
            <w:r w:rsidRPr="00C602F6">
              <w:rPr>
                <w:rFonts w:ascii="Arial Narrow" w:hAnsi="Arial Narrow" w:cs="Arial"/>
                <w:sz w:val="20"/>
                <w:szCs w:val="20"/>
              </w:rPr>
              <w:t xml:space="preserve">En el panorama actual, el diagnóstico aproximado, nos dicta que: i) Cerca de 8.8 millones de colombianos han sido identificados y registrados como víctimas del conflicto armado, de las cuales 7.152.425 son sujetos de asistencia y reparación, ii) 7.5 millones de colombianos están incluidos en el Registro Único de Víctimas por el hecho victimizante de desplazamiento forzado, iii) la medida de indemnización administrativa ha sido recibida, por 947.985 víctimas, a través de 991.304 giros por un valor de $ 6.022.143.969.387, iv) el 12 % de la población víctima ha accedido a la medida de indemnización administrativa. En dichas circunstancias se calcula que se requiere un estimado de 48.9 billones de pesos, que supone indemnizar a todas las víctimas en un tiempo cercano a 80 años. </w:t>
            </w:r>
          </w:p>
          <w:p w14:paraId="2AE746D0" w14:textId="77777777" w:rsidR="00BF204C" w:rsidRPr="00C602F6" w:rsidRDefault="00BF204C" w:rsidP="00BF204C">
            <w:pPr>
              <w:tabs>
                <w:tab w:val="num" w:pos="720"/>
              </w:tabs>
              <w:jc w:val="both"/>
              <w:rPr>
                <w:rFonts w:ascii="Arial Narrow" w:hAnsi="Arial Narrow" w:cs="Arial"/>
                <w:sz w:val="20"/>
                <w:szCs w:val="20"/>
              </w:rPr>
            </w:pPr>
          </w:p>
          <w:p w14:paraId="271136A6" w14:textId="73B94707" w:rsidR="00BF204C" w:rsidRPr="00C602F6" w:rsidRDefault="00BF204C" w:rsidP="00BF204C">
            <w:pPr>
              <w:tabs>
                <w:tab w:val="num" w:pos="720"/>
              </w:tabs>
              <w:jc w:val="both"/>
              <w:rPr>
                <w:rFonts w:ascii="Arial Narrow" w:hAnsi="Arial Narrow" w:cs="Arial"/>
                <w:b/>
                <w:bCs/>
                <w:sz w:val="20"/>
                <w:szCs w:val="20"/>
              </w:rPr>
            </w:pPr>
            <w:r w:rsidRPr="00C602F6">
              <w:rPr>
                <w:rFonts w:ascii="Arial Narrow" w:hAnsi="Arial Narrow" w:cs="Arial"/>
                <w:sz w:val="20"/>
                <w:szCs w:val="20"/>
              </w:rPr>
              <w:t>A cambio de ello, la propuesta reglamentaria, frente al mismo universo de víctimas, demanda un aproximado 34.2 billones de pesos en un lapso estimado de 55 años.</w:t>
            </w:r>
          </w:p>
          <w:p w14:paraId="1CF81B21" w14:textId="77777777" w:rsidR="000C5539" w:rsidRPr="00C602F6" w:rsidRDefault="000C5539" w:rsidP="00BF204C">
            <w:pPr>
              <w:jc w:val="both"/>
              <w:rPr>
                <w:rFonts w:ascii="Arial Narrow" w:eastAsia="Arial" w:hAnsi="Arial Narrow" w:cs="Arial"/>
                <w:sz w:val="20"/>
                <w:szCs w:val="20"/>
              </w:rPr>
            </w:pPr>
          </w:p>
        </w:tc>
      </w:tr>
      <w:tr w:rsidR="000C5539" w:rsidRPr="000C5539" w14:paraId="6D46310A" w14:textId="77777777" w:rsidTr="00BA0D2B">
        <w:tc>
          <w:tcPr>
            <w:tcW w:w="2439" w:type="dxa"/>
            <w:vAlign w:val="center"/>
          </w:tcPr>
          <w:p w14:paraId="20097C29"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lastRenderedPageBreak/>
              <w:t xml:space="preserve">5. Disponibilidad presupuestal </w:t>
            </w:r>
          </w:p>
        </w:tc>
        <w:tc>
          <w:tcPr>
            <w:tcW w:w="7484" w:type="dxa"/>
            <w:vAlign w:val="center"/>
          </w:tcPr>
          <w:p w14:paraId="26ED00D8" w14:textId="77777777" w:rsidR="000C5539" w:rsidRPr="00C602F6" w:rsidRDefault="000C5539" w:rsidP="00BA0D2B">
            <w:pPr>
              <w:jc w:val="both"/>
              <w:rPr>
                <w:rFonts w:ascii="Arial Narrow" w:eastAsia="Arial" w:hAnsi="Arial Narrow" w:cs="Arial"/>
                <w:sz w:val="20"/>
                <w:szCs w:val="20"/>
                <w:lang w:val="es-CO"/>
              </w:rPr>
            </w:pPr>
            <w:r w:rsidRPr="00C602F6">
              <w:rPr>
                <w:rFonts w:ascii="Arial Narrow" w:eastAsia="Arial" w:hAnsi="Arial Narrow" w:cs="Arial"/>
                <w:sz w:val="20"/>
                <w:szCs w:val="20"/>
              </w:rPr>
              <w:t xml:space="preserve">El reconocimiento de la medida de </w:t>
            </w:r>
            <w:r w:rsidR="003B5110" w:rsidRPr="00C602F6">
              <w:rPr>
                <w:rFonts w:ascii="Arial Narrow" w:eastAsia="Arial" w:hAnsi="Arial Narrow" w:cs="Arial"/>
                <w:sz w:val="20"/>
                <w:szCs w:val="20"/>
              </w:rPr>
              <w:t xml:space="preserve">la medida de </w:t>
            </w:r>
            <w:r w:rsidRPr="00C602F6">
              <w:rPr>
                <w:rFonts w:ascii="Arial Narrow" w:eastAsia="Arial" w:hAnsi="Arial Narrow" w:cs="Arial"/>
                <w:sz w:val="20"/>
                <w:szCs w:val="20"/>
              </w:rPr>
              <w:t>indemnización</w:t>
            </w:r>
            <w:r w:rsidR="003B5110" w:rsidRPr="00C602F6">
              <w:rPr>
                <w:rFonts w:ascii="Arial Narrow" w:eastAsia="Arial" w:hAnsi="Arial Narrow" w:cs="Arial"/>
                <w:sz w:val="20"/>
                <w:szCs w:val="20"/>
              </w:rPr>
              <w:t xml:space="preserve"> individual por vía administrativa</w:t>
            </w:r>
            <w:r w:rsidRPr="00C602F6">
              <w:rPr>
                <w:rFonts w:ascii="Arial Narrow" w:eastAsia="Arial" w:hAnsi="Arial Narrow" w:cs="Arial"/>
                <w:sz w:val="20"/>
                <w:szCs w:val="20"/>
              </w:rPr>
              <w:t xml:space="preserve"> se realiza </w:t>
            </w:r>
            <w:r w:rsidRPr="00C602F6">
              <w:rPr>
                <w:rFonts w:ascii="Arial Narrow" w:eastAsia="Arial" w:hAnsi="Arial Narrow" w:cs="Arial"/>
                <w:sz w:val="20"/>
                <w:szCs w:val="20"/>
                <w:lang w:val="es-CO"/>
              </w:rPr>
              <w:t xml:space="preserve">de acuerdo con lo establecido en la Ley 1448 de 2011 y su financiación en el Documento CONPES 3712 de 2011. </w:t>
            </w:r>
          </w:p>
        </w:tc>
      </w:tr>
      <w:tr w:rsidR="000C5539" w:rsidRPr="000C5539" w14:paraId="31BF8959" w14:textId="77777777" w:rsidTr="00BA0D2B">
        <w:tc>
          <w:tcPr>
            <w:tcW w:w="2439" w:type="dxa"/>
            <w:vAlign w:val="center"/>
          </w:tcPr>
          <w:p w14:paraId="38D42CEB"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6. Impacto medioambiental o sobre el patrimonio cultural de la Nación.</w:t>
            </w:r>
          </w:p>
        </w:tc>
        <w:tc>
          <w:tcPr>
            <w:tcW w:w="7484" w:type="dxa"/>
            <w:vAlign w:val="center"/>
          </w:tcPr>
          <w:p w14:paraId="3ECBF695" w14:textId="77777777" w:rsidR="000C5539" w:rsidRPr="000C5539" w:rsidRDefault="000C5539" w:rsidP="00BA0D2B">
            <w:pPr>
              <w:jc w:val="both"/>
              <w:rPr>
                <w:rFonts w:ascii="Arial Narrow" w:hAnsi="Arial Narrow" w:cs="Arial"/>
                <w:sz w:val="20"/>
                <w:szCs w:val="20"/>
                <w:lang w:val="es-CO"/>
              </w:rPr>
            </w:pPr>
            <w:r w:rsidRPr="000C5539">
              <w:rPr>
                <w:rFonts w:ascii="Arial Narrow" w:eastAsia="Arial" w:hAnsi="Arial Narrow" w:cs="Arial"/>
                <w:sz w:val="20"/>
                <w:szCs w:val="20"/>
              </w:rPr>
              <w:t>No genera impacto ambiental.</w:t>
            </w:r>
          </w:p>
        </w:tc>
      </w:tr>
      <w:tr w:rsidR="000C5539" w:rsidRPr="000C5539" w14:paraId="2208EA42" w14:textId="77777777" w:rsidTr="00BA0D2B">
        <w:tc>
          <w:tcPr>
            <w:tcW w:w="2439" w:type="dxa"/>
            <w:vAlign w:val="center"/>
          </w:tcPr>
          <w:p w14:paraId="1C04DF4B"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 xml:space="preserve">7. El cumplimiento de los requisitos de consulta y publicidad </w:t>
            </w:r>
          </w:p>
        </w:tc>
        <w:tc>
          <w:tcPr>
            <w:tcW w:w="7484" w:type="dxa"/>
            <w:shd w:val="clear" w:color="auto" w:fill="auto"/>
            <w:vAlign w:val="center"/>
          </w:tcPr>
          <w:p w14:paraId="01F7106C" w14:textId="6639CAC8" w:rsidR="000C5539" w:rsidRPr="009D749C" w:rsidRDefault="009D749C" w:rsidP="00611E0A">
            <w:pPr>
              <w:jc w:val="both"/>
              <w:rPr>
                <w:rFonts w:ascii="Arial Narrow" w:eastAsia="Arial" w:hAnsi="Arial Narrow" w:cs="Arial"/>
                <w:sz w:val="20"/>
                <w:szCs w:val="20"/>
              </w:rPr>
            </w:pPr>
            <w:r w:rsidRPr="009D749C">
              <w:rPr>
                <w:rFonts w:ascii="Arial Narrow" w:eastAsia="Arial" w:hAnsi="Arial Narrow" w:cs="Arial"/>
                <w:sz w:val="20"/>
                <w:szCs w:val="20"/>
              </w:rPr>
              <w:t>De acuerdo con su contenido, el proyecto de resolución no es una decisión administrativa sujeta a las condiciones de la Ley</w:t>
            </w:r>
            <w:r w:rsidR="00174D68">
              <w:rPr>
                <w:rFonts w:ascii="Arial Narrow" w:eastAsia="Arial" w:hAnsi="Arial Narrow" w:cs="Arial"/>
                <w:sz w:val="20"/>
                <w:szCs w:val="20"/>
              </w:rPr>
              <w:t xml:space="preserve"> </w:t>
            </w:r>
            <w:r w:rsidRPr="009D749C">
              <w:rPr>
                <w:rFonts w:ascii="Arial Narrow" w:eastAsia="Arial" w:hAnsi="Arial Narrow" w:cs="Arial"/>
                <w:sz w:val="20"/>
                <w:szCs w:val="20"/>
              </w:rPr>
              <w:t xml:space="preserve">21 de 1991 en materia de consulta previa. </w:t>
            </w:r>
          </w:p>
          <w:p w14:paraId="7E3DC058" w14:textId="77777777" w:rsidR="001415F4" w:rsidRPr="004A2FEF" w:rsidRDefault="001415F4" w:rsidP="00611E0A">
            <w:pPr>
              <w:jc w:val="both"/>
              <w:rPr>
                <w:rFonts w:ascii="Arial Narrow" w:eastAsia="Arial" w:hAnsi="Arial Narrow" w:cs="Arial"/>
                <w:b/>
                <w:sz w:val="20"/>
                <w:szCs w:val="20"/>
              </w:rPr>
            </w:pPr>
          </w:p>
        </w:tc>
      </w:tr>
    </w:tbl>
    <w:p w14:paraId="4B0F9AF3" w14:textId="77777777" w:rsidR="000C5539" w:rsidRPr="000C5539" w:rsidRDefault="000C5539" w:rsidP="000C5539">
      <w:pPr>
        <w:jc w:val="both"/>
        <w:rPr>
          <w:rFonts w:ascii="Arial Narrow" w:hAnsi="Arial Narrow"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6208"/>
      </w:tblGrid>
      <w:tr w:rsidR="000C5539" w:rsidRPr="000C5539" w14:paraId="38536F86" w14:textId="77777777" w:rsidTr="00BA0D2B">
        <w:tc>
          <w:tcPr>
            <w:tcW w:w="3715" w:type="dxa"/>
            <w:vAlign w:val="center"/>
          </w:tcPr>
          <w:p w14:paraId="30B8463A" w14:textId="77777777" w:rsidR="000C5539" w:rsidRPr="000C5539" w:rsidRDefault="000C5539" w:rsidP="00BA0D2B">
            <w:pPr>
              <w:jc w:val="both"/>
              <w:rPr>
                <w:rFonts w:ascii="Arial Narrow" w:hAnsi="Arial Narrow" w:cs="Arial"/>
                <w:b/>
                <w:sz w:val="20"/>
                <w:szCs w:val="20"/>
                <w:lang w:val="es-CO"/>
              </w:rPr>
            </w:pPr>
            <w:r w:rsidRPr="000C5539">
              <w:rPr>
                <w:rFonts w:ascii="Arial Narrow" w:hAnsi="Arial Narrow" w:cs="Arial"/>
                <w:b/>
                <w:sz w:val="20"/>
                <w:szCs w:val="20"/>
                <w:lang w:val="es-CO"/>
              </w:rPr>
              <w:t>8. Cualquier otro aspecto que la entidad remitente considere relevante o de importancia para la adopción de la decisión.</w:t>
            </w:r>
          </w:p>
        </w:tc>
        <w:tc>
          <w:tcPr>
            <w:tcW w:w="6208" w:type="dxa"/>
            <w:vAlign w:val="center"/>
          </w:tcPr>
          <w:p w14:paraId="286AF2C4" w14:textId="77777777" w:rsidR="000C5539" w:rsidRPr="000C5539" w:rsidRDefault="000C5539" w:rsidP="00BA0D2B">
            <w:pPr>
              <w:jc w:val="both"/>
              <w:rPr>
                <w:rFonts w:ascii="Arial Narrow" w:eastAsia="Arial" w:hAnsi="Arial Narrow" w:cs="Arial"/>
                <w:sz w:val="20"/>
                <w:szCs w:val="20"/>
              </w:rPr>
            </w:pPr>
          </w:p>
          <w:p w14:paraId="29F01EEC" w14:textId="084694B8" w:rsidR="000C5539" w:rsidRPr="000C5539" w:rsidRDefault="00611E0A" w:rsidP="00BA0D2B">
            <w:pPr>
              <w:jc w:val="both"/>
              <w:rPr>
                <w:rFonts w:ascii="Arial Narrow" w:eastAsia="Arial" w:hAnsi="Arial Narrow" w:cs="Arial"/>
                <w:sz w:val="20"/>
                <w:szCs w:val="20"/>
              </w:rPr>
            </w:pPr>
            <w:r w:rsidRPr="00611E0A">
              <w:rPr>
                <w:rFonts w:ascii="Arial Narrow" w:eastAsia="Arial" w:hAnsi="Arial Narrow" w:cs="Arial"/>
                <w:sz w:val="20"/>
                <w:szCs w:val="20"/>
              </w:rPr>
              <w:t xml:space="preserve">Con las modificaciones incluidas en el </w:t>
            </w:r>
            <w:r w:rsidR="00E17388">
              <w:rPr>
                <w:rFonts w:ascii="Arial Narrow" w:eastAsia="Arial" w:hAnsi="Arial Narrow" w:cs="Arial"/>
                <w:sz w:val="20"/>
                <w:szCs w:val="20"/>
              </w:rPr>
              <w:t>d</w:t>
            </w:r>
            <w:r w:rsidRPr="00611E0A">
              <w:rPr>
                <w:rFonts w:ascii="Arial Narrow" w:eastAsia="Arial" w:hAnsi="Arial Narrow" w:cs="Arial"/>
                <w:sz w:val="20"/>
                <w:szCs w:val="20"/>
              </w:rPr>
              <w:t>ecreto se proyectó un impacto económico cercano a los 15 billones de pesos</w:t>
            </w:r>
            <w:r>
              <w:rPr>
                <w:rFonts w:ascii="Arial Narrow" w:eastAsia="Arial" w:hAnsi="Arial Narrow" w:cs="Arial"/>
                <w:sz w:val="20"/>
                <w:szCs w:val="20"/>
              </w:rPr>
              <w:t xml:space="preserve"> en términos de ahorro presupuestal</w:t>
            </w:r>
            <w:r w:rsidR="00121C65">
              <w:rPr>
                <w:rFonts w:ascii="Arial Narrow" w:eastAsia="Arial" w:hAnsi="Arial Narrow" w:cs="Arial"/>
                <w:sz w:val="20"/>
                <w:szCs w:val="20"/>
              </w:rPr>
              <w:t>.</w:t>
            </w:r>
            <w:r>
              <w:rPr>
                <w:rFonts w:ascii="Arial Narrow" w:eastAsia="Arial" w:hAnsi="Arial Narrow" w:cs="Arial"/>
                <w:sz w:val="20"/>
                <w:szCs w:val="20"/>
              </w:rPr>
              <w:t xml:space="preserve"> </w:t>
            </w:r>
          </w:p>
          <w:p w14:paraId="7BDF15C7" w14:textId="77777777" w:rsidR="000C5539" w:rsidRPr="000C5539" w:rsidRDefault="000C5539" w:rsidP="00BA0D2B">
            <w:pPr>
              <w:jc w:val="both"/>
              <w:rPr>
                <w:rFonts w:ascii="Arial Narrow" w:eastAsia="Arial" w:hAnsi="Arial Narrow" w:cs="Arial"/>
                <w:sz w:val="20"/>
                <w:szCs w:val="20"/>
              </w:rPr>
            </w:pPr>
          </w:p>
        </w:tc>
      </w:tr>
      <w:tr w:rsidR="000C5539" w:rsidRPr="000C5539" w14:paraId="7576EE43" w14:textId="77777777" w:rsidTr="00BA0D2B">
        <w:trPr>
          <w:trHeight w:val="739"/>
        </w:trPr>
        <w:tc>
          <w:tcPr>
            <w:tcW w:w="9923" w:type="dxa"/>
            <w:gridSpan w:val="2"/>
            <w:vAlign w:val="center"/>
          </w:tcPr>
          <w:p w14:paraId="73EA47CF" w14:textId="77777777" w:rsidR="000C5539" w:rsidRPr="000C5539" w:rsidRDefault="000C5539" w:rsidP="00BA0D2B">
            <w:pPr>
              <w:jc w:val="both"/>
              <w:rPr>
                <w:rFonts w:ascii="Arial Narrow" w:hAnsi="Arial Narrow" w:cs="Arial"/>
                <w:sz w:val="20"/>
                <w:szCs w:val="20"/>
                <w:lang w:val="es-CO"/>
              </w:rPr>
            </w:pPr>
            <w:r w:rsidRPr="000C5539">
              <w:rPr>
                <w:rFonts w:ascii="Arial Narrow" w:hAnsi="Arial Narrow" w:cs="Arial"/>
                <w:b/>
                <w:sz w:val="20"/>
                <w:szCs w:val="20"/>
                <w:lang w:val="es-CO"/>
              </w:rPr>
              <w:t>9. Seguridad Jurídica:</w:t>
            </w:r>
            <w:r w:rsidRPr="000C5539">
              <w:rPr>
                <w:rFonts w:ascii="Arial Narrow" w:hAnsi="Arial Narrow" w:cs="Arial"/>
                <w:sz w:val="20"/>
                <w:szCs w:val="20"/>
                <w:lang w:val="es-CO"/>
              </w:rPr>
              <w:t xml:space="preserve"> Dentro del año inmediatamente anterior ya se había reglamentado la misma materia: </w:t>
            </w:r>
          </w:p>
          <w:p w14:paraId="7DD1D21F" w14:textId="77777777" w:rsidR="000C5539" w:rsidRPr="000C5539" w:rsidRDefault="000C5539" w:rsidP="00BA0D2B">
            <w:pPr>
              <w:jc w:val="both"/>
              <w:rPr>
                <w:rFonts w:ascii="Arial Narrow" w:hAnsi="Arial Narrow" w:cs="Arial"/>
                <w:sz w:val="20"/>
                <w:szCs w:val="20"/>
                <w:lang w:val="es-CO"/>
              </w:rPr>
            </w:pPr>
            <w:r w:rsidRPr="000C5539">
              <w:rPr>
                <w:rFonts w:ascii="Arial Narrow" w:hAnsi="Arial Narrow" w:cs="Arial"/>
                <w:sz w:val="20"/>
                <w:szCs w:val="20"/>
                <w:lang w:val="es-CO"/>
              </w:rPr>
              <w:t xml:space="preserve">SI: </w:t>
            </w:r>
            <w:r w:rsidRPr="000C5539">
              <w:rPr>
                <w:rFonts w:ascii="Arial Narrow" w:hAnsi="Arial Narrow" w:cs="Arial"/>
                <w:b/>
                <w:sz w:val="20"/>
                <w:szCs w:val="20"/>
                <w:lang w:val="es-CO"/>
              </w:rPr>
              <w:t>____</w:t>
            </w:r>
            <w:r w:rsidRPr="000C5539">
              <w:rPr>
                <w:rFonts w:ascii="Arial Narrow" w:hAnsi="Arial Narrow" w:cs="Arial"/>
                <w:sz w:val="20"/>
                <w:szCs w:val="20"/>
                <w:lang w:val="es-CO"/>
              </w:rPr>
              <w:t xml:space="preserve">                   </w:t>
            </w:r>
            <w:r w:rsidRPr="000C5539">
              <w:rPr>
                <w:rFonts w:ascii="Arial Narrow" w:hAnsi="Arial Narrow" w:cs="Arial"/>
                <w:b/>
                <w:sz w:val="20"/>
                <w:szCs w:val="20"/>
                <w:lang w:val="es-CO"/>
              </w:rPr>
              <w:t xml:space="preserve">NO: </w:t>
            </w:r>
            <w:r w:rsidRPr="000C5539">
              <w:rPr>
                <w:rFonts w:ascii="Arial Narrow" w:hAnsi="Arial Narrow" w:cs="Arial"/>
                <w:b/>
                <w:sz w:val="20"/>
                <w:szCs w:val="20"/>
              </w:rPr>
              <w:t>__X</w:t>
            </w:r>
          </w:p>
        </w:tc>
      </w:tr>
    </w:tbl>
    <w:p w14:paraId="6E9F7C0B" w14:textId="77777777" w:rsidR="000C5539" w:rsidRPr="000C5539" w:rsidRDefault="000C5539" w:rsidP="000C5539">
      <w:pPr>
        <w:jc w:val="both"/>
        <w:rPr>
          <w:rFonts w:ascii="Arial Narrow" w:hAnsi="Arial Narrow" w:cs="Arial"/>
          <w:sz w:val="20"/>
          <w:szCs w:val="20"/>
          <w:lang w:val="es-CO"/>
        </w:rPr>
      </w:pPr>
    </w:p>
    <w:p w14:paraId="7766AE00" w14:textId="77777777" w:rsidR="000C5539" w:rsidRPr="000C5539" w:rsidRDefault="000C5539" w:rsidP="000C5539">
      <w:pPr>
        <w:jc w:val="both"/>
        <w:rPr>
          <w:rFonts w:ascii="Arial Narrow" w:hAnsi="Arial Narrow"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C5539" w:rsidRPr="000C5539" w14:paraId="29DA77C1" w14:textId="77777777" w:rsidTr="00BA0D2B">
        <w:trPr>
          <w:trHeight w:val="3858"/>
        </w:trPr>
        <w:tc>
          <w:tcPr>
            <w:tcW w:w="9923" w:type="dxa"/>
          </w:tcPr>
          <w:p w14:paraId="392E2784" w14:textId="77777777" w:rsidR="000C5539" w:rsidRPr="000C5539" w:rsidRDefault="000C5539" w:rsidP="00BA0D2B">
            <w:pPr>
              <w:jc w:val="both"/>
              <w:rPr>
                <w:rFonts w:ascii="Arial Narrow" w:hAnsi="Arial Narrow" w:cs="Arial"/>
                <w:sz w:val="20"/>
                <w:szCs w:val="20"/>
              </w:rPr>
            </w:pPr>
            <w:r w:rsidRPr="000C5539">
              <w:rPr>
                <w:rFonts w:ascii="Arial Narrow" w:hAnsi="Arial Narrow" w:cs="Arial"/>
                <w:sz w:val="20"/>
                <w:szCs w:val="20"/>
                <w:lang w:val="es-CO"/>
              </w:rPr>
              <w:t>EL PROYECTO CUMPLE CON LAS DIRECTRICES DE TECNICA NORMATIVA PREVISTAS EN EL TITULO 2 DE LA PARTE 1 DEL LIBRO 2 DEL DECRETO No. 1081 de 2015:</w:t>
            </w:r>
            <w:r w:rsidRPr="000C5539">
              <w:rPr>
                <w:rFonts w:ascii="Arial Narrow" w:hAnsi="Arial Narrow" w:cs="Arial"/>
                <w:b/>
                <w:sz w:val="20"/>
                <w:szCs w:val="20"/>
                <w:lang w:val="es-CO"/>
              </w:rPr>
              <w:t xml:space="preserve"> SI </w:t>
            </w:r>
            <w:r w:rsidRPr="000C5539">
              <w:rPr>
                <w:rFonts w:ascii="Arial Narrow" w:hAnsi="Arial Narrow" w:cs="Arial"/>
                <w:b/>
                <w:sz w:val="20"/>
                <w:szCs w:val="20"/>
              </w:rPr>
              <w:t xml:space="preserve">__X__      </w:t>
            </w:r>
            <w:r w:rsidRPr="000C5539">
              <w:rPr>
                <w:rFonts w:ascii="Arial Narrow" w:hAnsi="Arial Narrow" w:cs="Arial"/>
                <w:sz w:val="20"/>
                <w:szCs w:val="20"/>
              </w:rPr>
              <w:t>NO ____</w:t>
            </w:r>
          </w:p>
          <w:p w14:paraId="3AAED3FC" w14:textId="77777777" w:rsidR="000C5539" w:rsidRPr="000C5539" w:rsidRDefault="000C5539" w:rsidP="00BA0D2B">
            <w:pPr>
              <w:jc w:val="both"/>
              <w:rPr>
                <w:rFonts w:ascii="Arial Narrow" w:hAnsi="Arial Narrow" w:cs="Arial"/>
                <w:sz w:val="20"/>
                <w:szCs w:val="20"/>
              </w:rPr>
            </w:pPr>
          </w:p>
          <w:p w14:paraId="60074D00" w14:textId="77777777" w:rsidR="000C5539" w:rsidRPr="000C5539" w:rsidRDefault="000C5539" w:rsidP="00BA0D2B">
            <w:pPr>
              <w:jc w:val="both"/>
              <w:rPr>
                <w:rFonts w:ascii="Arial Narrow" w:hAnsi="Arial Narrow" w:cs="Arial"/>
                <w:sz w:val="20"/>
                <w:szCs w:val="20"/>
              </w:rPr>
            </w:pPr>
            <w:r w:rsidRPr="000C5539">
              <w:rPr>
                <w:rFonts w:ascii="Arial Narrow" w:hAnsi="Arial Narrow" w:cs="Arial"/>
                <w:sz w:val="20"/>
                <w:szCs w:val="20"/>
              </w:rPr>
              <w:t>Viabilidad Jurídica:</w:t>
            </w:r>
          </w:p>
          <w:p w14:paraId="1321ECC4" w14:textId="48ED23F7" w:rsidR="000C5539" w:rsidRDefault="000C5539" w:rsidP="00BA0D2B">
            <w:pPr>
              <w:jc w:val="both"/>
              <w:rPr>
                <w:rFonts w:ascii="Arial Narrow" w:hAnsi="Arial Narrow" w:cs="Arial"/>
                <w:sz w:val="20"/>
                <w:szCs w:val="20"/>
              </w:rPr>
            </w:pPr>
          </w:p>
          <w:p w14:paraId="4CAE06C4" w14:textId="77777777" w:rsidR="00552DEF" w:rsidRPr="000C5539" w:rsidRDefault="00552DEF" w:rsidP="00BA0D2B">
            <w:pPr>
              <w:jc w:val="both"/>
              <w:rPr>
                <w:rFonts w:ascii="Arial Narrow" w:hAnsi="Arial Narrow" w:cs="Arial"/>
                <w:sz w:val="20"/>
                <w:szCs w:val="20"/>
              </w:rPr>
            </w:pPr>
          </w:p>
          <w:p w14:paraId="609FF0DA" w14:textId="57E6A644" w:rsidR="000C5539" w:rsidRDefault="000C5539" w:rsidP="00BA0D2B">
            <w:pPr>
              <w:jc w:val="both"/>
              <w:rPr>
                <w:rFonts w:ascii="Arial Narrow" w:hAnsi="Arial Narrow" w:cs="Arial"/>
                <w:sz w:val="20"/>
                <w:szCs w:val="20"/>
              </w:rPr>
            </w:pPr>
          </w:p>
          <w:p w14:paraId="4685650E" w14:textId="77777777" w:rsidR="00552DEF" w:rsidRPr="000C5539" w:rsidRDefault="00552DEF" w:rsidP="00BA0D2B">
            <w:pPr>
              <w:jc w:val="both"/>
              <w:rPr>
                <w:rFonts w:ascii="Arial Narrow" w:hAnsi="Arial Narrow" w:cs="Arial"/>
                <w:sz w:val="20"/>
                <w:szCs w:val="20"/>
              </w:rPr>
            </w:pPr>
          </w:p>
          <w:p w14:paraId="62968BDC" w14:textId="63D263F0" w:rsidR="000A35A8" w:rsidRPr="000C5539" w:rsidRDefault="000C5539" w:rsidP="00BA0D2B">
            <w:pPr>
              <w:jc w:val="both"/>
              <w:rPr>
                <w:rFonts w:ascii="Arial Narrow" w:hAnsi="Arial Narrow" w:cs="Arial"/>
                <w:sz w:val="20"/>
                <w:szCs w:val="20"/>
              </w:rPr>
            </w:pPr>
            <w:r w:rsidRPr="000C5539">
              <w:rPr>
                <w:rFonts w:ascii="Arial Narrow" w:hAnsi="Arial Narrow" w:cs="Arial"/>
                <w:sz w:val="20"/>
                <w:szCs w:val="20"/>
              </w:rPr>
              <w:t>__________________________________</w:t>
            </w:r>
          </w:p>
          <w:p w14:paraId="60FAC0B6" w14:textId="77777777" w:rsidR="00E1057F" w:rsidRDefault="00E1057F" w:rsidP="00BA0D2B">
            <w:pPr>
              <w:jc w:val="both"/>
              <w:rPr>
                <w:rFonts w:ascii="Arial Narrow" w:hAnsi="Arial Narrow" w:cs="Arial"/>
                <w:sz w:val="20"/>
                <w:szCs w:val="20"/>
              </w:rPr>
            </w:pPr>
            <w:r>
              <w:rPr>
                <w:rFonts w:ascii="Arial Narrow" w:hAnsi="Arial Narrow" w:cs="Arial"/>
                <w:sz w:val="20"/>
                <w:szCs w:val="20"/>
              </w:rPr>
              <w:t>VLADIMIR MARTIN RAMOS</w:t>
            </w:r>
          </w:p>
          <w:p w14:paraId="0C933FA7" w14:textId="03899AC1" w:rsidR="00CD2764" w:rsidRDefault="00E1057F" w:rsidP="00BA0D2B">
            <w:pPr>
              <w:jc w:val="both"/>
              <w:rPr>
                <w:rFonts w:ascii="Arial Narrow" w:hAnsi="Arial Narrow" w:cs="Arial"/>
                <w:sz w:val="20"/>
                <w:szCs w:val="20"/>
              </w:rPr>
            </w:pPr>
            <w:r>
              <w:rPr>
                <w:rFonts w:ascii="Arial Narrow" w:hAnsi="Arial Narrow" w:cs="Arial"/>
                <w:sz w:val="20"/>
                <w:szCs w:val="20"/>
              </w:rPr>
              <w:t>JEFE</w:t>
            </w:r>
            <w:r w:rsidR="00CD2764">
              <w:rPr>
                <w:rFonts w:ascii="Arial Narrow" w:hAnsi="Arial Narrow" w:cs="Arial"/>
                <w:sz w:val="20"/>
                <w:szCs w:val="20"/>
              </w:rPr>
              <w:t xml:space="preserve"> OFICINA ASESORA JUR</w:t>
            </w:r>
            <w:r w:rsidR="0030697C">
              <w:rPr>
                <w:rFonts w:ascii="Arial Narrow" w:hAnsi="Arial Narrow" w:cs="Arial"/>
                <w:sz w:val="20"/>
                <w:szCs w:val="20"/>
              </w:rPr>
              <w:t>Í</w:t>
            </w:r>
            <w:r w:rsidR="00CD2764">
              <w:rPr>
                <w:rFonts w:ascii="Arial Narrow" w:hAnsi="Arial Narrow" w:cs="Arial"/>
                <w:sz w:val="20"/>
                <w:szCs w:val="20"/>
              </w:rPr>
              <w:t xml:space="preserve">DICA </w:t>
            </w:r>
          </w:p>
          <w:p w14:paraId="4BFF5BBD" w14:textId="77777777" w:rsidR="000C5539" w:rsidRDefault="00CD2764" w:rsidP="00BA0D2B">
            <w:pPr>
              <w:jc w:val="both"/>
              <w:rPr>
                <w:rFonts w:ascii="Arial Narrow" w:hAnsi="Arial Narrow" w:cs="Arial"/>
                <w:sz w:val="20"/>
                <w:szCs w:val="20"/>
              </w:rPr>
            </w:pPr>
            <w:r>
              <w:rPr>
                <w:rFonts w:ascii="Arial Narrow" w:hAnsi="Arial Narrow" w:cs="Arial"/>
                <w:sz w:val="20"/>
                <w:szCs w:val="20"/>
              </w:rPr>
              <w:t>UNIDAD PARA LAS VÍCTIMAS</w:t>
            </w:r>
            <w:r w:rsidR="000C5539" w:rsidRPr="000C5539">
              <w:rPr>
                <w:rFonts w:ascii="Arial Narrow" w:hAnsi="Arial Narrow" w:cs="Arial"/>
                <w:sz w:val="20"/>
                <w:szCs w:val="20"/>
              </w:rPr>
              <w:t xml:space="preserve">           </w:t>
            </w:r>
          </w:p>
          <w:p w14:paraId="2DF0FC2A" w14:textId="0682A893" w:rsidR="000A35A8" w:rsidRDefault="000A35A8" w:rsidP="00BA0D2B">
            <w:pPr>
              <w:jc w:val="both"/>
              <w:rPr>
                <w:rFonts w:ascii="Arial Narrow" w:hAnsi="Arial Narrow" w:cs="Arial"/>
                <w:sz w:val="20"/>
                <w:szCs w:val="20"/>
              </w:rPr>
            </w:pPr>
          </w:p>
          <w:p w14:paraId="5D89C4C0" w14:textId="094DE02E" w:rsidR="00552DEF" w:rsidRDefault="00552DEF" w:rsidP="00BA0D2B">
            <w:pPr>
              <w:jc w:val="both"/>
              <w:rPr>
                <w:rFonts w:ascii="Arial Narrow" w:hAnsi="Arial Narrow" w:cs="Arial"/>
                <w:sz w:val="20"/>
                <w:szCs w:val="20"/>
              </w:rPr>
            </w:pPr>
          </w:p>
          <w:p w14:paraId="0B9E03CE" w14:textId="5A1E44D9" w:rsidR="00552DEF" w:rsidRDefault="00DC3F11" w:rsidP="00BA0D2B">
            <w:pPr>
              <w:jc w:val="both"/>
              <w:rPr>
                <w:rFonts w:ascii="Arial Narrow" w:hAnsi="Arial Narrow" w:cs="Arial"/>
                <w:sz w:val="20"/>
                <w:szCs w:val="20"/>
              </w:rPr>
            </w:pPr>
            <w:r>
              <w:rPr>
                <w:rFonts w:ascii="Arial Narrow" w:hAnsi="Arial Narrow" w:cs="Arial"/>
                <w:sz w:val="20"/>
                <w:szCs w:val="20"/>
              </w:rPr>
              <w:t xml:space="preserve">Con </w:t>
            </w:r>
            <w:proofErr w:type="spellStart"/>
            <w:r>
              <w:rPr>
                <w:rFonts w:ascii="Arial Narrow" w:hAnsi="Arial Narrow" w:cs="Arial"/>
                <w:sz w:val="20"/>
                <w:szCs w:val="20"/>
              </w:rPr>
              <w:t>VoBo</w:t>
            </w:r>
            <w:proofErr w:type="spellEnd"/>
            <w:r>
              <w:rPr>
                <w:rFonts w:ascii="Arial Narrow" w:hAnsi="Arial Narrow" w:cs="Arial"/>
                <w:sz w:val="20"/>
                <w:szCs w:val="20"/>
              </w:rPr>
              <w:t>:</w:t>
            </w:r>
          </w:p>
          <w:p w14:paraId="655C54A4" w14:textId="77777777" w:rsidR="00552DEF" w:rsidRDefault="00552DEF" w:rsidP="00BA0D2B">
            <w:pPr>
              <w:jc w:val="both"/>
              <w:rPr>
                <w:rFonts w:ascii="Arial Narrow" w:hAnsi="Arial Narrow" w:cs="Arial"/>
                <w:sz w:val="20"/>
                <w:szCs w:val="20"/>
              </w:rPr>
            </w:pPr>
          </w:p>
          <w:p w14:paraId="3FEBFD2E" w14:textId="77777777" w:rsidR="00DC3F11" w:rsidRDefault="00DC3F11" w:rsidP="00BA0D2B">
            <w:pPr>
              <w:jc w:val="both"/>
              <w:rPr>
                <w:rFonts w:ascii="Arial Narrow" w:hAnsi="Arial Narrow" w:cs="Arial"/>
                <w:sz w:val="20"/>
                <w:szCs w:val="20"/>
              </w:rPr>
            </w:pPr>
          </w:p>
          <w:p w14:paraId="7589F79C" w14:textId="77777777" w:rsidR="00552DEF" w:rsidRDefault="00552DEF" w:rsidP="00BA0D2B">
            <w:pPr>
              <w:jc w:val="both"/>
              <w:rPr>
                <w:rFonts w:ascii="Arial Narrow" w:hAnsi="Arial Narrow" w:cs="Arial"/>
                <w:sz w:val="20"/>
                <w:szCs w:val="20"/>
              </w:rPr>
            </w:pPr>
          </w:p>
          <w:p w14:paraId="442772E8" w14:textId="555D7384" w:rsidR="000A35A8" w:rsidRDefault="000A35A8" w:rsidP="00BA0D2B">
            <w:pPr>
              <w:jc w:val="both"/>
              <w:rPr>
                <w:rFonts w:ascii="Arial Narrow" w:hAnsi="Arial Narrow" w:cs="Arial"/>
                <w:sz w:val="20"/>
                <w:szCs w:val="20"/>
              </w:rPr>
            </w:pPr>
            <w:r>
              <w:rPr>
                <w:rFonts w:ascii="Arial Narrow" w:hAnsi="Arial Narrow" w:cs="Arial"/>
                <w:sz w:val="20"/>
                <w:szCs w:val="20"/>
              </w:rPr>
              <w:t>____________________________</w:t>
            </w:r>
          </w:p>
          <w:p w14:paraId="38700D71" w14:textId="2EAF9A1E" w:rsidR="000A35A8" w:rsidRDefault="0030697C" w:rsidP="000A35A8">
            <w:pPr>
              <w:jc w:val="both"/>
              <w:rPr>
                <w:rFonts w:ascii="Arial Narrow" w:hAnsi="Arial Narrow" w:cs="Arial"/>
                <w:sz w:val="20"/>
                <w:szCs w:val="20"/>
              </w:rPr>
            </w:pPr>
            <w:r w:rsidRPr="0030697C">
              <w:rPr>
                <w:rFonts w:ascii="Arial Narrow" w:hAnsi="Arial Narrow" w:cs="Arial"/>
                <w:sz w:val="20"/>
                <w:szCs w:val="20"/>
              </w:rPr>
              <w:t>LUCY EDREY ACEVEDO MENESES</w:t>
            </w:r>
          </w:p>
          <w:p w14:paraId="3DC075C0" w14:textId="66F39D3C" w:rsidR="000A35A8" w:rsidRDefault="000A35A8" w:rsidP="000A35A8">
            <w:pPr>
              <w:jc w:val="both"/>
              <w:rPr>
                <w:rFonts w:ascii="Arial Narrow" w:hAnsi="Arial Narrow" w:cs="Arial"/>
                <w:sz w:val="20"/>
                <w:szCs w:val="20"/>
              </w:rPr>
            </w:pPr>
            <w:r>
              <w:rPr>
                <w:rFonts w:ascii="Arial Narrow" w:hAnsi="Arial Narrow" w:cs="Arial"/>
                <w:sz w:val="20"/>
                <w:szCs w:val="20"/>
              </w:rPr>
              <w:t>JEFE OFICINA ASESORA JUR</w:t>
            </w:r>
            <w:r w:rsidR="0030697C">
              <w:rPr>
                <w:rFonts w:ascii="Arial Narrow" w:hAnsi="Arial Narrow" w:cs="Arial"/>
                <w:sz w:val="20"/>
                <w:szCs w:val="20"/>
              </w:rPr>
              <w:t>Í</w:t>
            </w:r>
            <w:r>
              <w:rPr>
                <w:rFonts w:ascii="Arial Narrow" w:hAnsi="Arial Narrow" w:cs="Arial"/>
                <w:sz w:val="20"/>
                <w:szCs w:val="20"/>
              </w:rPr>
              <w:t xml:space="preserve">DICA </w:t>
            </w:r>
          </w:p>
          <w:p w14:paraId="3E8906E6" w14:textId="38D3E0DA" w:rsidR="000A35A8" w:rsidRPr="000C5539" w:rsidRDefault="0030697C" w:rsidP="000A35A8">
            <w:pPr>
              <w:jc w:val="both"/>
              <w:rPr>
                <w:rFonts w:ascii="Arial Narrow" w:hAnsi="Arial Narrow" w:cs="Arial"/>
                <w:b/>
                <w:sz w:val="20"/>
                <w:szCs w:val="20"/>
                <w:lang w:val="es-CO"/>
              </w:rPr>
            </w:pPr>
            <w:r>
              <w:rPr>
                <w:rFonts w:ascii="Arial Narrow" w:hAnsi="Arial Narrow" w:cs="Arial"/>
                <w:sz w:val="20"/>
                <w:szCs w:val="20"/>
              </w:rPr>
              <w:t>PROSPERIDAD SOCIAL</w:t>
            </w:r>
            <w:r w:rsidR="000A35A8" w:rsidRPr="000C5539">
              <w:rPr>
                <w:rFonts w:ascii="Arial Narrow" w:hAnsi="Arial Narrow" w:cs="Arial"/>
                <w:sz w:val="20"/>
                <w:szCs w:val="20"/>
              </w:rPr>
              <w:t xml:space="preserve">           </w:t>
            </w:r>
          </w:p>
        </w:tc>
      </w:tr>
    </w:tbl>
    <w:p w14:paraId="3D30E48E" w14:textId="77777777" w:rsidR="000C5539" w:rsidRPr="000C5539" w:rsidRDefault="000C5539" w:rsidP="000C5539">
      <w:pPr>
        <w:jc w:val="both"/>
        <w:rPr>
          <w:rFonts w:ascii="Arial Narrow" w:hAnsi="Arial Narrow" w:cs="Arial"/>
          <w:sz w:val="20"/>
          <w:szCs w:val="20"/>
        </w:rPr>
      </w:pPr>
    </w:p>
    <w:p w14:paraId="17BCF354" w14:textId="77777777" w:rsidR="004D2EBD" w:rsidRPr="000C5539" w:rsidRDefault="004D2EBD" w:rsidP="003221CB">
      <w:pPr>
        <w:spacing w:line="360" w:lineRule="auto"/>
        <w:rPr>
          <w:rFonts w:ascii="Arial Narrow" w:hAnsi="Arial Narrow"/>
          <w:sz w:val="20"/>
          <w:szCs w:val="20"/>
        </w:rPr>
      </w:pPr>
    </w:p>
    <w:sectPr w:rsidR="004D2EBD" w:rsidRPr="000C5539" w:rsidSect="00987FAF">
      <w:headerReference w:type="even" r:id="rId11"/>
      <w:headerReference w:type="default" r:id="rId12"/>
      <w:footerReference w:type="default" r:id="rId13"/>
      <w:headerReference w:type="first" r:id="rId14"/>
      <w:pgSz w:w="12240" w:h="18720" w:code="14"/>
      <w:pgMar w:top="1440" w:right="760" w:bottom="1440" w:left="851" w:header="709"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53C5" w14:textId="77777777" w:rsidR="00EE056A" w:rsidRDefault="00EE056A">
      <w:r>
        <w:separator/>
      </w:r>
    </w:p>
  </w:endnote>
  <w:endnote w:type="continuationSeparator" w:id="0">
    <w:p w14:paraId="50B4DC70" w14:textId="77777777" w:rsidR="00EE056A" w:rsidRDefault="00EE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ode3of9">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DFF9A" w14:textId="77777777" w:rsidR="00C27EDE" w:rsidRPr="00812369" w:rsidRDefault="000D4EF1" w:rsidP="00CD5FBA">
    <w:pPr>
      <w:pStyle w:val="Piedepgina"/>
    </w:pPr>
    <w:r w:rsidRPr="00812369">
      <w:rPr>
        <w:noProof/>
      </w:rPr>
      <w:drawing>
        <wp:anchor distT="0" distB="0" distL="114300" distR="114300" simplePos="0" relativeHeight="251657216" behindDoc="0" locked="0" layoutInCell="1" allowOverlap="1" wp14:anchorId="50FD6D81" wp14:editId="255EE17B">
          <wp:simplePos x="0" y="0"/>
          <wp:positionH relativeFrom="column">
            <wp:posOffset>-540385</wp:posOffset>
          </wp:positionH>
          <wp:positionV relativeFrom="paragraph">
            <wp:posOffset>21590</wp:posOffset>
          </wp:positionV>
          <wp:extent cx="7931785" cy="1104265"/>
          <wp:effectExtent l="0" t="0" r="0" b="0"/>
          <wp:wrapThrough wrapText="bothSides">
            <wp:wrapPolygon edited="0">
              <wp:start x="0" y="0"/>
              <wp:lineTo x="0" y="21240"/>
              <wp:lineTo x="21529" y="21240"/>
              <wp:lineTo x="21529" y="0"/>
              <wp:lineTo x="0" y="0"/>
            </wp:wrapPolygon>
          </wp:wrapThrough>
          <wp:docPr id="31" name="Imagen 31" descr="muestra membrete_icontec-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descr="muestra membrete_icontec-0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78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820E" w14:textId="77777777" w:rsidR="00EE056A" w:rsidRDefault="00EE056A">
      <w:r>
        <w:separator/>
      </w:r>
    </w:p>
  </w:footnote>
  <w:footnote w:type="continuationSeparator" w:id="0">
    <w:p w14:paraId="3FCE606D" w14:textId="77777777" w:rsidR="00EE056A" w:rsidRDefault="00EE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BDC0" w14:textId="77777777" w:rsidR="00EF3121" w:rsidRDefault="00EE056A">
    <w:pPr>
      <w:pStyle w:val="Encabezado"/>
    </w:pPr>
    <w:r>
      <w:rPr>
        <w:noProof/>
      </w:rPr>
      <w:pict w14:anchorId="2170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7.5pt;height:825pt;z-index:-251658240;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1D01" w14:textId="77777777" w:rsidR="00EE5223" w:rsidRPr="000F7F6A" w:rsidRDefault="000D4EF1" w:rsidP="009B4927">
    <w:pPr>
      <w:tabs>
        <w:tab w:val="left" w:pos="345"/>
        <w:tab w:val="left" w:pos="1485"/>
        <w:tab w:val="right" w:pos="10490"/>
      </w:tabs>
      <w:snapToGrid w:val="0"/>
      <w:jc w:val="right"/>
      <w:rPr>
        <w:rFonts w:ascii="Arial Narrow" w:hAnsi="Arial Narrow" w:cs="Arial"/>
        <w:b/>
        <w:bCs/>
        <w:sz w:val="14"/>
        <w:lang w:val="en-US"/>
      </w:rPr>
    </w:pPr>
    <w:r>
      <w:rPr>
        <w:noProof/>
      </w:rPr>
      <w:drawing>
        <wp:anchor distT="0" distB="0" distL="114300" distR="114300" simplePos="0" relativeHeight="251656192" behindDoc="0" locked="0" layoutInCell="1" allowOverlap="1" wp14:anchorId="66CD5590" wp14:editId="6E586A93">
          <wp:simplePos x="0" y="0"/>
          <wp:positionH relativeFrom="column">
            <wp:posOffset>-911860</wp:posOffset>
          </wp:positionH>
          <wp:positionV relativeFrom="paragraph">
            <wp:posOffset>-152400</wp:posOffset>
          </wp:positionV>
          <wp:extent cx="3276600" cy="789940"/>
          <wp:effectExtent l="0" t="0" r="0" b="0"/>
          <wp:wrapThrough wrapText="bothSides">
            <wp:wrapPolygon edited="0">
              <wp:start x="0" y="0"/>
              <wp:lineTo x="0" y="20836"/>
              <wp:lineTo x="21474" y="20836"/>
              <wp:lineTo x="21474" y="0"/>
              <wp:lineTo x="0" y="0"/>
            </wp:wrapPolygon>
          </wp:wrapThrough>
          <wp:docPr id="2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r="58089"/>
                  <a:stretch>
                    <a:fillRect/>
                  </a:stretch>
                </pic:blipFill>
                <pic:spPr bwMode="auto">
                  <a:xfrm>
                    <a:off x="0" y="0"/>
                    <a:ext cx="32766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D6AA1" w14:textId="77777777" w:rsidR="00EE5223" w:rsidRPr="000F7F6A" w:rsidRDefault="00EE5223" w:rsidP="00EE5223">
    <w:pPr>
      <w:tabs>
        <w:tab w:val="left" w:pos="1485"/>
      </w:tabs>
      <w:snapToGrid w:val="0"/>
      <w:jc w:val="right"/>
      <w:rPr>
        <w:rFonts w:ascii="Code3of9" w:hAnsi="Code3of9" w:cs="Arial"/>
        <w:sz w:val="40"/>
        <w:szCs w:val="40"/>
        <w:lang w:val="en-US"/>
      </w:rPr>
    </w:pPr>
    <w:r w:rsidRPr="000F7F6A">
      <w:rPr>
        <w:lang w:val="en-US"/>
      </w:rPr>
      <w:tab/>
    </w:r>
    <w:r w:rsidRPr="000F7F6A">
      <w:rPr>
        <w:lang w:val="en-US"/>
      </w:rPr>
      <w:tab/>
    </w:r>
    <w:r w:rsidRPr="000F7F6A">
      <w:rPr>
        <w:lang w:val="en-US"/>
      </w:rPr>
      <w:tab/>
    </w:r>
    <w:r w:rsidRPr="000F7F6A">
      <w:rPr>
        <w:lang w:val="en-US"/>
      </w:rPr>
      <w:tab/>
    </w:r>
    <w:r w:rsidRPr="000F7F6A">
      <w:rPr>
        <w:lang w:val="en-US"/>
      </w:rPr>
      <w:tab/>
    </w:r>
    <w:r w:rsidRPr="000F7F6A">
      <w:rPr>
        <w:rFonts w:ascii="Code3of9" w:hAnsi="Code3of9" w:cs="Arial"/>
        <w:sz w:val="40"/>
        <w:szCs w:val="40"/>
        <w:lang w:val="en-US"/>
      </w:rPr>
      <w:t xml:space="preserve"> </w:t>
    </w:r>
  </w:p>
  <w:p w14:paraId="52709654" w14:textId="77777777" w:rsidR="00EE5223" w:rsidRDefault="00EE5223" w:rsidP="00EE5223">
    <w:pPr>
      <w:tabs>
        <w:tab w:val="left" w:pos="1485"/>
      </w:tabs>
      <w:snapToGrid w:val="0"/>
      <w:ind w:left="4956"/>
      <w:jc w:val="right"/>
      <w:rPr>
        <w:rFonts w:ascii="Arial" w:hAnsi="Arial" w:cs="Arial"/>
        <w:b/>
        <w:bCs/>
        <w:sz w:val="16"/>
        <w:szCs w:val="16"/>
      </w:rPr>
    </w:pPr>
    <w:r>
      <w:rPr>
        <w:rFonts w:ascii="Arial" w:hAnsi="Arial" w:cs="Arial"/>
        <w:sz w:val="16"/>
        <w:szCs w:val="16"/>
      </w:rPr>
      <w:t xml:space="preserve">                                                                                                                               </w:t>
    </w:r>
  </w:p>
  <w:p w14:paraId="4443E750" w14:textId="77777777" w:rsidR="00EE5223" w:rsidRDefault="00EE5223" w:rsidP="00EE5223">
    <w:pPr>
      <w:tabs>
        <w:tab w:val="left" w:pos="1485"/>
      </w:tabs>
      <w:snapToGrid w:val="0"/>
      <w:jc w:val="right"/>
      <w:rPr>
        <w:rFonts w:ascii="Arial" w:hAnsi="Arial" w:cs="Arial"/>
        <w:sz w:val="16"/>
        <w:szCs w:val="16"/>
      </w:rPr>
    </w:pPr>
    <w:r>
      <w:rPr>
        <w:rFonts w:ascii="Arial" w:hAnsi="Arial" w:cs="Arial"/>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4F2D" w14:textId="77777777" w:rsidR="00EF3121" w:rsidRDefault="00EE056A">
    <w:pPr>
      <w:pStyle w:val="Encabezado"/>
    </w:pPr>
    <w:r>
      <w:rPr>
        <w:noProof/>
      </w:rPr>
      <w:pict w14:anchorId="43FCE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637.5pt;height:825pt;z-index:-251657216;mso-wrap-edited:f;mso-position-horizontal:center;mso-position-horizontal-relative:margin;mso-position-vertical:center;mso-position-vertical-relative:margin" wrapcoords="-25 0 -25 21560 21600 21560 21600 0 -25 0">
          <v:imagedata r:id="rId1" o:title="papeleria-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009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20"/>
    <w:rsid w:val="00003BD6"/>
    <w:rsid w:val="00014BD3"/>
    <w:rsid w:val="00017CF4"/>
    <w:rsid w:val="000A35A8"/>
    <w:rsid w:val="000B398C"/>
    <w:rsid w:val="000B59D3"/>
    <w:rsid w:val="000C5539"/>
    <w:rsid w:val="000C6F3D"/>
    <w:rsid w:val="000D4EF1"/>
    <w:rsid w:val="000F496F"/>
    <w:rsid w:val="000F6B09"/>
    <w:rsid w:val="000F7F6A"/>
    <w:rsid w:val="00104086"/>
    <w:rsid w:val="0011107F"/>
    <w:rsid w:val="001124AD"/>
    <w:rsid w:val="00121C65"/>
    <w:rsid w:val="0012786E"/>
    <w:rsid w:val="001348C5"/>
    <w:rsid w:val="001415F4"/>
    <w:rsid w:val="00160A17"/>
    <w:rsid w:val="001654F0"/>
    <w:rsid w:val="00167802"/>
    <w:rsid w:val="00170DE6"/>
    <w:rsid w:val="00174D68"/>
    <w:rsid w:val="00175A98"/>
    <w:rsid w:val="001E6806"/>
    <w:rsid w:val="001F4EBC"/>
    <w:rsid w:val="00231A4F"/>
    <w:rsid w:val="0024559D"/>
    <w:rsid w:val="00257388"/>
    <w:rsid w:val="00296A0A"/>
    <w:rsid w:val="0029791F"/>
    <w:rsid w:val="002A19D4"/>
    <w:rsid w:val="002A3809"/>
    <w:rsid w:val="002B40C1"/>
    <w:rsid w:val="002D2ECC"/>
    <w:rsid w:val="002D59AB"/>
    <w:rsid w:val="002F5F73"/>
    <w:rsid w:val="0030697C"/>
    <w:rsid w:val="00311F50"/>
    <w:rsid w:val="003221CB"/>
    <w:rsid w:val="00324ABE"/>
    <w:rsid w:val="003359F2"/>
    <w:rsid w:val="00340A66"/>
    <w:rsid w:val="00355B31"/>
    <w:rsid w:val="00362252"/>
    <w:rsid w:val="0036243D"/>
    <w:rsid w:val="003824D5"/>
    <w:rsid w:val="0038271C"/>
    <w:rsid w:val="003A49DC"/>
    <w:rsid w:val="003B5110"/>
    <w:rsid w:val="003C369A"/>
    <w:rsid w:val="003C4903"/>
    <w:rsid w:val="003D5F4A"/>
    <w:rsid w:val="003D68CE"/>
    <w:rsid w:val="003D7CBC"/>
    <w:rsid w:val="003E0C19"/>
    <w:rsid w:val="003F754B"/>
    <w:rsid w:val="004063BA"/>
    <w:rsid w:val="00420638"/>
    <w:rsid w:val="0042406D"/>
    <w:rsid w:val="00452588"/>
    <w:rsid w:val="0049686B"/>
    <w:rsid w:val="004979FA"/>
    <w:rsid w:val="004A225D"/>
    <w:rsid w:val="004A2FEF"/>
    <w:rsid w:val="004B5BC0"/>
    <w:rsid w:val="004C0616"/>
    <w:rsid w:val="004C2D3B"/>
    <w:rsid w:val="004C4F24"/>
    <w:rsid w:val="004D2EBD"/>
    <w:rsid w:val="004D53E2"/>
    <w:rsid w:val="004D6385"/>
    <w:rsid w:val="004E0B57"/>
    <w:rsid w:val="004E49D4"/>
    <w:rsid w:val="004E6AF9"/>
    <w:rsid w:val="004F36FA"/>
    <w:rsid w:val="00507E46"/>
    <w:rsid w:val="005239B9"/>
    <w:rsid w:val="00530F97"/>
    <w:rsid w:val="00535E3A"/>
    <w:rsid w:val="00542E14"/>
    <w:rsid w:val="005527B3"/>
    <w:rsid w:val="00552DEF"/>
    <w:rsid w:val="00552E2B"/>
    <w:rsid w:val="00561910"/>
    <w:rsid w:val="005709FA"/>
    <w:rsid w:val="0058733B"/>
    <w:rsid w:val="005D6863"/>
    <w:rsid w:val="00611E0A"/>
    <w:rsid w:val="00626D0E"/>
    <w:rsid w:val="0064125A"/>
    <w:rsid w:val="00661570"/>
    <w:rsid w:val="00666842"/>
    <w:rsid w:val="00670EA9"/>
    <w:rsid w:val="00684B11"/>
    <w:rsid w:val="006A0597"/>
    <w:rsid w:val="006A35C1"/>
    <w:rsid w:val="006B1830"/>
    <w:rsid w:val="007150CC"/>
    <w:rsid w:val="0072040D"/>
    <w:rsid w:val="007354CF"/>
    <w:rsid w:val="00782E6D"/>
    <w:rsid w:val="007A456F"/>
    <w:rsid w:val="007B6725"/>
    <w:rsid w:val="007B74C0"/>
    <w:rsid w:val="007F3595"/>
    <w:rsid w:val="00812369"/>
    <w:rsid w:val="0081470C"/>
    <w:rsid w:val="00820513"/>
    <w:rsid w:val="008302CA"/>
    <w:rsid w:val="008343F0"/>
    <w:rsid w:val="00854D06"/>
    <w:rsid w:val="00862D5B"/>
    <w:rsid w:val="008714F7"/>
    <w:rsid w:val="00872EF5"/>
    <w:rsid w:val="008937A8"/>
    <w:rsid w:val="008971D9"/>
    <w:rsid w:val="0089784B"/>
    <w:rsid w:val="008F3316"/>
    <w:rsid w:val="008F4A88"/>
    <w:rsid w:val="008F5CCE"/>
    <w:rsid w:val="009030CD"/>
    <w:rsid w:val="00912B48"/>
    <w:rsid w:val="00942762"/>
    <w:rsid w:val="0095322C"/>
    <w:rsid w:val="00975667"/>
    <w:rsid w:val="00976135"/>
    <w:rsid w:val="00987FAF"/>
    <w:rsid w:val="00991316"/>
    <w:rsid w:val="009952A9"/>
    <w:rsid w:val="0099689B"/>
    <w:rsid w:val="009A174B"/>
    <w:rsid w:val="009A3044"/>
    <w:rsid w:val="009A640D"/>
    <w:rsid w:val="009A6D7E"/>
    <w:rsid w:val="009B4927"/>
    <w:rsid w:val="009D6B96"/>
    <w:rsid w:val="009D749C"/>
    <w:rsid w:val="009F002E"/>
    <w:rsid w:val="00A1459B"/>
    <w:rsid w:val="00A35344"/>
    <w:rsid w:val="00A50E18"/>
    <w:rsid w:val="00A62019"/>
    <w:rsid w:val="00A74227"/>
    <w:rsid w:val="00A764A4"/>
    <w:rsid w:val="00AE3287"/>
    <w:rsid w:val="00AE443D"/>
    <w:rsid w:val="00B01111"/>
    <w:rsid w:val="00B13A7C"/>
    <w:rsid w:val="00B374C6"/>
    <w:rsid w:val="00B37AAD"/>
    <w:rsid w:val="00B44F14"/>
    <w:rsid w:val="00B522EE"/>
    <w:rsid w:val="00B6020B"/>
    <w:rsid w:val="00B6052C"/>
    <w:rsid w:val="00B742AB"/>
    <w:rsid w:val="00B77837"/>
    <w:rsid w:val="00B90BC2"/>
    <w:rsid w:val="00BA0D2B"/>
    <w:rsid w:val="00BB6CDD"/>
    <w:rsid w:val="00BC1F2D"/>
    <w:rsid w:val="00BC3567"/>
    <w:rsid w:val="00BC6757"/>
    <w:rsid w:val="00BC7C20"/>
    <w:rsid w:val="00BF204C"/>
    <w:rsid w:val="00BF7DAF"/>
    <w:rsid w:val="00C075C3"/>
    <w:rsid w:val="00C15FE3"/>
    <w:rsid w:val="00C21B70"/>
    <w:rsid w:val="00C27EDE"/>
    <w:rsid w:val="00C602F6"/>
    <w:rsid w:val="00C6431F"/>
    <w:rsid w:val="00C71B1D"/>
    <w:rsid w:val="00C82422"/>
    <w:rsid w:val="00C85BC5"/>
    <w:rsid w:val="00C92317"/>
    <w:rsid w:val="00CA76F4"/>
    <w:rsid w:val="00CB57CC"/>
    <w:rsid w:val="00CB7904"/>
    <w:rsid w:val="00CD2185"/>
    <w:rsid w:val="00CD2764"/>
    <w:rsid w:val="00CD5FBA"/>
    <w:rsid w:val="00CE2706"/>
    <w:rsid w:val="00CE3D8D"/>
    <w:rsid w:val="00CF475F"/>
    <w:rsid w:val="00D0213A"/>
    <w:rsid w:val="00D033AC"/>
    <w:rsid w:val="00D21BE7"/>
    <w:rsid w:val="00D2573D"/>
    <w:rsid w:val="00D42C2E"/>
    <w:rsid w:val="00D56FB3"/>
    <w:rsid w:val="00D73FDB"/>
    <w:rsid w:val="00D77758"/>
    <w:rsid w:val="00DB5B49"/>
    <w:rsid w:val="00DB6743"/>
    <w:rsid w:val="00DC3F11"/>
    <w:rsid w:val="00DF08BD"/>
    <w:rsid w:val="00E06941"/>
    <w:rsid w:val="00E07974"/>
    <w:rsid w:val="00E1057F"/>
    <w:rsid w:val="00E17388"/>
    <w:rsid w:val="00E36A8E"/>
    <w:rsid w:val="00E5366D"/>
    <w:rsid w:val="00E57682"/>
    <w:rsid w:val="00E57CD7"/>
    <w:rsid w:val="00E60365"/>
    <w:rsid w:val="00E722C0"/>
    <w:rsid w:val="00E72782"/>
    <w:rsid w:val="00E75401"/>
    <w:rsid w:val="00E870A0"/>
    <w:rsid w:val="00E95EC8"/>
    <w:rsid w:val="00EB6D41"/>
    <w:rsid w:val="00EC25B9"/>
    <w:rsid w:val="00ED685C"/>
    <w:rsid w:val="00EE056A"/>
    <w:rsid w:val="00EE219E"/>
    <w:rsid w:val="00EE5223"/>
    <w:rsid w:val="00EE6BCC"/>
    <w:rsid w:val="00EF3121"/>
    <w:rsid w:val="00EF4253"/>
    <w:rsid w:val="00F3386F"/>
    <w:rsid w:val="00F402C4"/>
    <w:rsid w:val="00F474CE"/>
    <w:rsid w:val="00F645C5"/>
    <w:rsid w:val="00F67232"/>
    <w:rsid w:val="00F81E0F"/>
    <w:rsid w:val="00F875FC"/>
    <w:rsid w:val="00F936FA"/>
    <w:rsid w:val="00FB4118"/>
    <w:rsid w:val="00FE304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F387DF"/>
  <w15:chartTrackingRefBased/>
  <w15:docId w15:val="{CC3287B6-C114-1E43-A06C-05F5CFE6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E0F"/>
    <w:rPr>
      <w:sz w:val="24"/>
      <w:szCs w:val="24"/>
      <w:lang w:val="es-ES"/>
    </w:rPr>
  </w:style>
  <w:style w:type="paragraph" w:styleId="Ttulo1">
    <w:name w:val="heading 1"/>
    <w:basedOn w:val="Normal"/>
    <w:next w:val="Normal"/>
    <w:qFormat/>
    <w:pPr>
      <w:keepNext/>
      <w:jc w:val="right"/>
      <w:outlineLvl w:val="0"/>
    </w:pPr>
    <w:rPr>
      <w:rFonts w:ascii="Arial Narrow" w:hAnsi="Arial Narrow"/>
      <w:b/>
      <w:bCs/>
      <w:sz w:val="14"/>
    </w:rPr>
  </w:style>
  <w:style w:type="paragraph" w:styleId="Ttulo2">
    <w:name w:val="heading 2"/>
    <w:basedOn w:val="Normal"/>
    <w:next w:val="Normal"/>
    <w:qFormat/>
    <w:pPr>
      <w:keepNext/>
      <w:jc w:val="center"/>
      <w:outlineLvl w:val="1"/>
    </w:pPr>
    <w:rPr>
      <w:rFonts w:ascii="Arial Narrow" w:hAnsi="Arial Narrow"/>
      <w:b/>
      <w:bCs/>
      <w:sz w:val="14"/>
    </w:rPr>
  </w:style>
  <w:style w:type="paragraph" w:styleId="Ttulo3">
    <w:name w:val="heading 3"/>
    <w:basedOn w:val="Normal"/>
    <w:next w:val="Normal"/>
    <w:qFormat/>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styleId="Textoindependiente">
    <w:name w:val="Body Text"/>
    <w:basedOn w:val="Normal"/>
    <w:rPr>
      <w:rFonts w:ascii="Arial Narrow" w:hAnsi="Arial Narrow"/>
      <w:b/>
      <w:sz w:val="9"/>
    </w:rPr>
  </w:style>
  <w:style w:type="paragraph" w:styleId="Textonotapie">
    <w:name w:val="footnote text"/>
    <w:basedOn w:val="Normal"/>
    <w:link w:val="TextonotapieCar"/>
    <w:uiPriority w:val="99"/>
    <w:rsid w:val="00F81E0F"/>
    <w:rPr>
      <w:sz w:val="20"/>
      <w:szCs w:val="20"/>
    </w:rPr>
  </w:style>
  <w:style w:type="paragraph" w:styleId="Ttulo">
    <w:name w:val="Title"/>
    <w:basedOn w:val="Normal"/>
    <w:qFormat/>
    <w:rsid w:val="00ED685C"/>
    <w:pPr>
      <w:jc w:val="center"/>
    </w:pPr>
    <w:rPr>
      <w:rFonts w:ascii="Arial" w:hAnsi="Arial" w:cs="Arial"/>
      <w:b/>
      <w:bCs/>
    </w:rPr>
  </w:style>
  <w:style w:type="paragraph" w:styleId="Textodeglobo">
    <w:name w:val="Balloon Text"/>
    <w:basedOn w:val="Normal"/>
    <w:semiHidden/>
    <w:rsid w:val="00E75401"/>
    <w:rPr>
      <w:rFonts w:ascii="Tahoma" w:hAnsi="Tahoma" w:cs="Tahoma"/>
      <w:sz w:val="16"/>
      <w:szCs w:val="16"/>
    </w:rPr>
  </w:style>
  <w:style w:type="paragraph" w:customStyle="1" w:styleId="Default">
    <w:name w:val="Default"/>
    <w:basedOn w:val="Normal"/>
    <w:rsid w:val="008971D9"/>
    <w:pPr>
      <w:autoSpaceDE w:val="0"/>
      <w:autoSpaceDN w:val="0"/>
    </w:pPr>
    <w:rPr>
      <w:rFonts w:ascii="Arial" w:eastAsia="Calibri" w:hAnsi="Arial" w:cs="Arial"/>
      <w:color w:val="000000"/>
      <w:lang w:val="es-CO" w:eastAsia="es-CO"/>
    </w:rPr>
  </w:style>
  <w:style w:type="character" w:customStyle="1" w:styleId="EncabezadoCar">
    <w:name w:val="Encabezado Car"/>
    <w:link w:val="Encabezado"/>
    <w:rsid w:val="00EE5223"/>
    <w:rPr>
      <w:sz w:val="24"/>
      <w:szCs w:val="24"/>
      <w:lang w:val="es-ES" w:eastAsia="es-ES"/>
    </w:rPr>
  </w:style>
  <w:style w:type="character" w:customStyle="1" w:styleId="PiedepginaCar">
    <w:name w:val="Pie de página Car"/>
    <w:link w:val="Piedepgina"/>
    <w:uiPriority w:val="99"/>
    <w:rsid w:val="0012786E"/>
    <w:rPr>
      <w:sz w:val="24"/>
      <w:szCs w:val="24"/>
      <w:lang w:val="es-ES" w:eastAsia="es-ES"/>
    </w:rPr>
  </w:style>
  <w:style w:type="paragraph" w:styleId="NormalWeb">
    <w:name w:val="Normal (Web)"/>
    <w:basedOn w:val="Normal"/>
    <w:uiPriority w:val="99"/>
    <w:rsid w:val="000C5539"/>
    <w:pPr>
      <w:spacing w:before="100" w:beforeAutospacing="1" w:after="100" w:afterAutospacing="1"/>
    </w:pPr>
    <w:rPr>
      <w:color w:val="663300"/>
    </w:rPr>
  </w:style>
  <w:style w:type="paragraph" w:styleId="Prrafodelista">
    <w:name w:val="List Paragraph"/>
    <w:basedOn w:val="Normal"/>
    <w:link w:val="PrrafodelistaCar"/>
    <w:uiPriority w:val="34"/>
    <w:qFormat/>
    <w:rsid w:val="000C5539"/>
    <w:pPr>
      <w:spacing w:after="200" w:line="276" w:lineRule="auto"/>
      <w:ind w:left="720"/>
      <w:contextualSpacing/>
    </w:pPr>
    <w:rPr>
      <w:rFonts w:ascii="Calibri" w:eastAsia="Calibri" w:hAnsi="Calibri"/>
      <w:sz w:val="22"/>
      <w:szCs w:val="22"/>
      <w:lang w:val="es-CO" w:eastAsia="en-US"/>
    </w:rPr>
  </w:style>
  <w:style w:type="paragraph" w:customStyle="1" w:styleId="Style-2">
    <w:name w:val="Style-2"/>
    <w:rsid w:val="000C5539"/>
    <w:rPr>
      <w:lang w:val="es-ES"/>
    </w:rPr>
  </w:style>
  <w:style w:type="character" w:customStyle="1" w:styleId="TextonotapieCar">
    <w:name w:val="Texto nota pie Car"/>
    <w:link w:val="Textonotapie"/>
    <w:uiPriority w:val="99"/>
    <w:rsid w:val="000C5539"/>
  </w:style>
  <w:style w:type="character" w:styleId="Refdenotaalpie">
    <w:name w:val="footnote reference"/>
    <w:uiPriority w:val="99"/>
    <w:rsid w:val="000C5539"/>
    <w:rPr>
      <w:vertAlign w:val="superscript"/>
    </w:rPr>
  </w:style>
  <w:style w:type="character" w:customStyle="1" w:styleId="PrrafodelistaCar">
    <w:name w:val="Párrafo de lista Car"/>
    <w:link w:val="Prrafodelista"/>
    <w:uiPriority w:val="34"/>
    <w:locked/>
    <w:rsid w:val="000C5539"/>
    <w:rPr>
      <w:rFonts w:ascii="Calibri" w:eastAsia="Calibri" w:hAnsi="Calibri"/>
      <w:sz w:val="22"/>
      <w:szCs w:val="22"/>
      <w:lang w:val="es-CO" w:eastAsia="en-US"/>
    </w:rPr>
  </w:style>
  <w:style w:type="character" w:styleId="Refdecomentario">
    <w:name w:val="annotation reference"/>
    <w:rsid w:val="003B5110"/>
    <w:rPr>
      <w:sz w:val="16"/>
      <w:szCs w:val="16"/>
    </w:rPr>
  </w:style>
  <w:style w:type="paragraph" w:styleId="Textocomentario">
    <w:name w:val="annotation text"/>
    <w:basedOn w:val="Normal"/>
    <w:link w:val="TextocomentarioCar"/>
    <w:rsid w:val="003B5110"/>
    <w:rPr>
      <w:sz w:val="20"/>
      <w:szCs w:val="20"/>
    </w:rPr>
  </w:style>
  <w:style w:type="character" w:customStyle="1" w:styleId="TextocomentarioCar">
    <w:name w:val="Texto comentario Car"/>
    <w:basedOn w:val="Fuentedeprrafopredeter"/>
    <w:link w:val="Textocomentario"/>
    <w:rsid w:val="003B5110"/>
  </w:style>
  <w:style w:type="paragraph" w:styleId="Asuntodelcomentario">
    <w:name w:val="annotation subject"/>
    <w:basedOn w:val="Textocomentario"/>
    <w:next w:val="Textocomentario"/>
    <w:link w:val="AsuntodelcomentarioCar"/>
    <w:rsid w:val="003B5110"/>
    <w:rPr>
      <w:b/>
      <w:bCs/>
    </w:rPr>
  </w:style>
  <w:style w:type="character" w:customStyle="1" w:styleId="AsuntodelcomentarioCar">
    <w:name w:val="Asunto del comentario Car"/>
    <w:link w:val="Asuntodelcomentario"/>
    <w:rsid w:val="003B5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F31986CF69E9FE48A57BECBE308E1A45" ma:contentTypeVersion="7" ma:contentTypeDescription="Crear nuevo documento." ma:contentTypeScope="" ma:versionID="dd578b968dcbfd24ff96657311c2d1a4">
  <xsd:schema xmlns:xsd="http://www.w3.org/2001/XMLSchema" xmlns:xs="http://www.w3.org/2001/XMLSchema" xmlns:p="http://schemas.microsoft.com/office/2006/metadata/properties" xmlns:ns2="fe5c55e1-1529-428c-8c16-ada3460a0e7a" targetNamespace="http://schemas.microsoft.com/office/2006/metadata/properties" ma:root="true" ma:fieldsID="85b82ad8e91d4bef59f7a11170726caa"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element name="TaxKeywordTaxHTField" ma:index="14" nillable="true" ma:taxonomy="true" ma:internalName="TaxKeywordTaxHTField" ma:taxonomyFieldName="TaxKeyword" ma:displayName="Palabras clave de empresa" ma:fieldId="{23f27201-bee3-471e-b2e7-b64fd8b7ca38}" ma:taxonomyMulti="true" ma:sspId="a9584801-e361-45bf-9b1e-b4f377865fcc"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bd2de93b-9b0b-4beb-873c-04226923d0ee}" ma:internalName="TaxCatchAll" ma:showField="CatchAllData" ma:web="fe5c55e1-1529-428c-8c16-ada3460a0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ma:index="16"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ección xmlns="fe5c55e1-1529-428c-8c16-ada3460a0e7a" xsi:nil="true"/>
    <TaxCatchAll xmlns="fe5c55e1-1529-428c-8c16-ada3460a0e7a"/>
    <TaxKeywordTaxHTField xmlns="fe5c55e1-1529-428c-8c16-ada3460a0e7a">
      <Terms xmlns="http://schemas.microsoft.com/office/infopath/2007/PartnerControls"/>
    </TaxKeywordTaxHTField>
    <_dlc_DocId xmlns="fe5c55e1-1529-428c-8c16-ada3460a0e7a">A65FJVFR3NAS-661729355-3557</_dlc_DocId>
    <_dlc_DocIdUrl xmlns="fe5c55e1-1529-428c-8c16-ada3460a0e7a">
      <Url>http://tame/_layouts/15/DocIdRedir.aspx?ID=A65FJVFR3NAS-661729355-3557</Url>
      <Description>A65FJVFR3NAS-661729355-3557</Description>
    </_dlc_DocIdUrl>
  </documentManagement>
</p:properties>
</file>

<file path=customXml/itemProps1.xml><?xml version="1.0" encoding="utf-8"?>
<ds:datastoreItem xmlns:ds="http://schemas.openxmlformats.org/officeDocument/2006/customXml" ds:itemID="{538202E1-8F28-4480-889E-1C1DFCAFE173}"/>
</file>

<file path=customXml/itemProps2.xml><?xml version="1.0" encoding="utf-8"?>
<ds:datastoreItem xmlns:ds="http://schemas.openxmlformats.org/officeDocument/2006/customXml" ds:itemID="{32B2B5F7-CAC2-409E-955E-1F01824BCBB1}"/>
</file>

<file path=customXml/itemProps3.xml><?xml version="1.0" encoding="utf-8"?>
<ds:datastoreItem xmlns:ds="http://schemas.openxmlformats.org/officeDocument/2006/customXml" ds:itemID="{C52D6A5A-533E-40A5-ABFD-FD8D5424C266}"/>
</file>

<file path=customXml/itemProps4.xml><?xml version="1.0" encoding="utf-8"?>
<ds:datastoreItem xmlns:ds="http://schemas.openxmlformats.org/officeDocument/2006/customXml" ds:itemID="{5BE3603C-19C1-4514-B7A3-A3847B727A7F}"/>
</file>

<file path=customXml/itemProps5.xml><?xml version="1.0" encoding="utf-8"?>
<ds:datastoreItem xmlns:ds="http://schemas.openxmlformats.org/officeDocument/2006/customXml" ds:itemID="{97C6C025-B85C-41AA-B32E-9A80E2A1F647}"/>
</file>

<file path=docProps/app.xml><?xml version="1.0" encoding="utf-8"?>
<Properties xmlns="http://schemas.openxmlformats.org/officeDocument/2006/extended-properties" xmlns:vt="http://schemas.openxmlformats.org/officeDocument/2006/docPropsVTypes">
  <Template>plantilla_Memorando_ORFEO</Template>
  <TotalTime>5</TotalTime>
  <Pages>6</Pages>
  <Words>3647</Words>
  <Characters>20062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23662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subject/>
  <dc:creator>ctriana</dc:creator>
  <cp:keywords/>
  <cp:lastModifiedBy>Omar Alberto Baron Avendano</cp:lastModifiedBy>
  <cp:revision>3</cp:revision>
  <cp:lastPrinted>2019-05-06T20:15:00Z</cp:lastPrinted>
  <dcterms:created xsi:type="dcterms:W3CDTF">2019-10-25T12:36:00Z</dcterms:created>
  <dcterms:modified xsi:type="dcterms:W3CDTF">2019-10-25T13:29:00Z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0x010100F31986CF69E9FE48A57BECBE308E1A45</vt:lpwstr>
  </property>
  <property fmtid="{D5CDD505-2E9C-101B-9397-08002B2CF9AE}" pid="3" name="_dlc_DocIdItemGuid">
    <vt:lpwstr>75c06340-750c-4b0b-b449-5df359c3c32e</vt:lpwstr>
  </property>
  <property fmtid="{D5CDD505-2E9C-101B-9397-08002B2CF9AE}" pid="4" name="TaxKeyword">
    <vt:lpwstr/>
  </property>
</Properties>
</file>